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F92F812" w:rsidR="00967748" w:rsidRPr="00CE6C1D" w:rsidRDefault="00AD06B5" w:rsidP="00611112">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3ADC4DCF">
                  <wp:simplePos x="0" y="0"/>
                  <wp:positionH relativeFrom="column">
                    <wp:posOffset>-67945</wp:posOffset>
                  </wp:positionH>
                  <wp:positionV relativeFrom="paragraph">
                    <wp:posOffset>222885</wp:posOffset>
                  </wp:positionV>
                  <wp:extent cx="1058545" cy="777240"/>
                  <wp:effectExtent l="0" t="0" r="8255" b="3810"/>
                  <wp:wrapNone/>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8545" cy="777240"/>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31968" behindDoc="0" locked="0" layoutInCell="1" allowOverlap="1" wp14:anchorId="01B967FF" wp14:editId="30A1CE39">
                  <wp:simplePos x="0" y="0"/>
                  <wp:positionH relativeFrom="column">
                    <wp:posOffset>4791786</wp:posOffset>
                  </wp:positionH>
                  <wp:positionV relativeFrom="paragraph">
                    <wp:posOffset>207010</wp:posOffset>
                  </wp:positionV>
                  <wp:extent cx="902259" cy="796290"/>
                  <wp:effectExtent l="0" t="0" r="0" b="381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07478" cy="800896"/>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F64D32" w:rsidRPr="00DD1100">
              <w:rPr>
                <w:rFonts w:ascii="Garamond" w:hAnsi="Garamond"/>
                <w:noProof/>
                <w:color w:val="1F3864" w:themeColor="accent5" w:themeShade="80"/>
                <w:spacing w:val="-6"/>
                <w:sz w:val="36"/>
                <w:szCs w:val="36"/>
                <w:lang w:bidi="fa-IR"/>
              </w:rPr>
              <w:t>Multicriteria Algorithms with Applications</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56A8CDA" w14:textId="3ADB5EEE" w:rsidR="006E0733" w:rsidRPr="0063698A" w:rsidRDefault="00611112" w:rsidP="00AD06B5">
            <w:pPr>
              <w:pStyle w:val="a6"/>
              <w:tabs>
                <w:tab w:val="left" w:pos="2850"/>
                <w:tab w:val="center" w:pos="4378"/>
                <w:tab w:val="right" w:pos="8397"/>
              </w:tabs>
              <w:bidi w:val="0"/>
              <w:spacing w:after="240" w:afterAutospacing="0" w:line="480" w:lineRule="auto"/>
              <w:ind w:left="-103" w:right="0" w:firstLine="0"/>
              <w:jc w:val="both"/>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AD06B5" w:rsidRPr="00C77F1E">
              <w:rPr>
                <w:rFonts w:ascii="Garamond" w:hAnsi="Garamond"/>
                <w:noProof/>
                <w:color w:val="002060"/>
                <w:spacing w:val="-6"/>
                <w:sz w:val="20"/>
                <w:szCs w:val="20"/>
                <w:lang w:bidi="fa-IR"/>
              </w:rPr>
              <w:t xml:space="preserve"> Journal Homepage</w:t>
            </w:r>
            <w:bookmarkStart w:id="0" w:name="_GoBack"/>
            <w:bookmarkEnd w:id="0"/>
            <w:r w:rsidR="00AD06B5" w:rsidRPr="00C77F1E">
              <w:rPr>
                <w:rFonts w:ascii="Garamond" w:hAnsi="Garamond"/>
                <w:b w:val="0"/>
                <w:bCs/>
                <w:noProof/>
                <w:color w:val="002060"/>
                <w:spacing w:val="-6"/>
                <w:sz w:val="20"/>
                <w:szCs w:val="20"/>
                <w:lang w:bidi="fa-IR"/>
              </w:rPr>
              <w:t xml:space="preserve">: </w:t>
            </w:r>
            <w:hyperlink r:id="rId14" w:history="1">
              <w:r w:rsidR="00AD06B5" w:rsidRPr="0063698A">
                <w:rPr>
                  <w:rFonts w:ascii="Garamond" w:hAnsi="Garamond"/>
                  <w:noProof/>
                  <w:color w:val="000000" w:themeColor="text1"/>
                  <w:spacing w:val="-6"/>
                  <w:sz w:val="20"/>
                  <w:szCs w:val="20"/>
                  <w:lang w:bidi="fa-IR"/>
                </w:rPr>
                <w:t>sciencesforce.com/mawa</w:t>
              </w:r>
            </w:hyperlink>
          </w:p>
          <w:p w14:paraId="689D471C" w14:textId="6029B396" w:rsidR="003922BA" w:rsidRPr="00D14B7A" w:rsidRDefault="00546368" w:rsidP="00557A8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1" w:name="_Hlk153266797"/>
            <w:r w:rsidR="00F64D32" w:rsidRPr="00DD1100">
              <w:rPr>
                <w:rFonts w:ascii="Garamond" w:hAnsi="Garamond"/>
                <w:b/>
                <w:bCs/>
                <w:color w:val="1F3864" w:themeColor="accent5" w:themeShade="80"/>
                <w:szCs w:val="22"/>
                <w:lang w:bidi="fa-IR"/>
              </w:rPr>
              <w:t xml:space="preserve">Multicriteria. Algo. Appl. </w:t>
            </w:r>
            <w:bookmarkEnd w:id="1"/>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84273286"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84273287"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080FC" w14:textId="77777777" w:rsidR="00746880" w:rsidRPr="00FE73CA" w:rsidRDefault="00746880" w:rsidP="00FA44F9">
      <w:r w:rsidRPr="00FE73CA">
        <w:separator/>
      </w:r>
    </w:p>
  </w:endnote>
  <w:endnote w:type="continuationSeparator" w:id="0">
    <w:p w14:paraId="62B07E58" w14:textId="77777777" w:rsidR="00746880" w:rsidRPr="00FE73CA" w:rsidRDefault="00746880" w:rsidP="00FA44F9">
      <w:r w:rsidRPr="00FE73CA">
        <w:continuationSeparator/>
      </w:r>
    </w:p>
  </w:endnote>
  <w:endnote w:type="continuationNotice" w:id="1">
    <w:p w14:paraId="1EB7F10B" w14:textId="77777777" w:rsidR="00746880" w:rsidRDefault="007468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E459" w14:textId="3825F379" w:rsidR="00CB1A9E" w:rsidRDefault="00CB1A9E" w:rsidP="00CB1A9E">
    <w:pPr>
      <w:pStyle w:val="Affiliation"/>
      <w:framePr w:hSpace="0" w:wrap="auto" w:vAnchor="margin" w:hAnchor="text" w:xAlign="left" w:yAlign="inline"/>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1312" behindDoc="0" locked="0" layoutInCell="1" allowOverlap="1" wp14:anchorId="71BDDF63" wp14:editId="1C2FD353">
          <wp:simplePos x="0" y="0"/>
          <wp:positionH relativeFrom="column">
            <wp:posOffset>408305</wp:posOffset>
          </wp:positionH>
          <wp:positionV relativeFrom="paragraph">
            <wp:posOffset>-33020</wp:posOffset>
          </wp:positionV>
          <wp:extent cx="172720" cy="1727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r>
      <w:rPr>
        <w:rFonts w:ascii="Palatino Linotype" w:hAnsi="Palatino Linotype"/>
        <w:sz w:val="16"/>
        <w:szCs w:val="16"/>
      </w:rPr>
      <w:t>email</w:t>
    </w:r>
  </w:p>
  <w:p w14:paraId="1AD5F20A" w14:textId="77777777" w:rsidR="00CB1A9E" w:rsidRDefault="00CB1A9E" w:rsidP="00CB1A9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659264" behindDoc="0" locked="0" layoutInCell="1" allowOverlap="1" wp14:anchorId="71CAE274" wp14:editId="0F5E6B0A">
          <wp:simplePos x="0" y="0"/>
          <wp:positionH relativeFrom="column">
            <wp:posOffset>404495</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 xml:space="preserve">10.22105/SA.2021.281500.1061     </w:t>
    </w:r>
  </w:p>
  <w:p w14:paraId="1CB33CF5" w14:textId="77777777" w:rsidR="00CB1A9E" w:rsidRDefault="00CB1A9E" w:rsidP="00CB1A9E">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0288" behindDoc="0" locked="0" layoutInCell="1" allowOverlap="1" wp14:anchorId="343D0B84" wp14:editId="24EF993A">
          <wp:simplePos x="0" y="0"/>
          <wp:positionH relativeFrom="margin">
            <wp:posOffset>396240</wp:posOffset>
          </wp:positionH>
          <wp:positionV relativeFrom="paragraph">
            <wp:posOffset>74295</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E531BF">
      <w:rPr>
        <w:rFonts w:ascii="Palatino Linotype" w:hAnsi="Palatino Linotype"/>
        <w:sz w:val="16"/>
        <w:szCs w:val="16"/>
      </w:rPr>
      <w:t xml:space="preserve">Licensee System Analytics. </w:t>
    </w:r>
    <w:proofErr w:type="gramStart"/>
    <w:r w:rsidRPr="00E531BF">
      <w:rPr>
        <w:rFonts w:ascii="Palatino Linotype" w:hAnsi="Palatino Linotype"/>
        <w:sz w:val="16"/>
        <w:szCs w:val="16"/>
      </w:rPr>
      <w:t>This  article</w:t>
    </w:r>
    <w:proofErr w:type="gramEnd"/>
    <w:r w:rsidRPr="00E531BF">
      <w:rPr>
        <w:rFonts w:ascii="Palatino Linotype" w:hAnsi="Palatino Linotype"/>
        <w:sz w:val="16"/>
        <w:szCs w:val="16"/>
      </w:rPr>
      <w:t xml:space="preserve"> is an open access article distributed under the terms</w:t>
    </w:r>
    <w:r>
      <w:rPr>
        <w:rFonts w:ascii="Palatino Linotype" w:hAnsi="Palatino Linotype"/>
        <w:sz w:val="16"/>
        <w:szCs w:val="16"/>
      </w:rPr>
      <w:t xml:space="preserve"> and conditions of the </w:t>
    </w:r>
  </w:p>
  <w:p w14:paraId="52751CF0" w14:textId="16D60A7C" w:rsidR="000E04F6" w:rsidRPr="00CB1A9E" w:rsidRDefault="00CB1A9E" w:rsidP="00CB1A9E">
    <w:pPr>
      <w:pStyle w:val="Affiliation"/>
      <w:framePr w:hSpace="0" w:wrap="auto" w:vAnchor="margin" w:hAnchor="text" w:xAlign="left" w:yAlign="inline"/>
      <w:suppressOverlap w:val="0"/>
      <w:rPr>
        <w:rFonts w:ascii="Palatino Linotype" w:hAnsi="Palatino Linotype"/>
      </w:rPr>
    </w:pPr>
    <w:r>
      <w:rPr>
        <w:rFonts w:ascii="Palatino Linotype" w:hAnsi="Palatino Linotype"/>
        <w:sz w:val="16"/>
        <w:szCs w:val="16"/>
      </w:rPr>
      <w:t xml:space="preserve">                            Creative </w:t>
    </w:r>
    <w:r w:rsidRPr="00E531BF">
      <w:rPr>
        <w:rFonts w:ascii="Palatino Linotype" w:hAnsi="Palatino Linotype"/>
        <w:sz w:val="16"/>
        <w:szCs w:val="16"/>
      </w:rPr>
      <w:t>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E52B0" w14:textId="77777777" w:rsidR="00746880" w:rsidRPr="00FE73CA" w:rsidRDefault="00746880" w:rsidP="00FA44F9">
      <w:pPr>
        <w:bidi w:val="0"/>
      </w:pPr>
      <w:r w:rsidRPr="00FE73CA">
        <w:separator/>
      </w:r>
    </w:p>
  </w:footnote>
  <w:footnote w:type="continuationSeparator" w:id="0">
    <w:p w14:paraId="3C11BC00" w14:textId="77777777" w:rsidR="00746880" w:rsidRPr="00FE73CA" w:rsidRDefault="00746880" w:rsidP="00FA44F9">
      <w:r w:rsidRPr="00FE73CA">
        <w:continuationSeparator/>
      </w:r>
    </w:p>
  </w:footnote>
  <w:footnote w:type="continuationNotice" w:id="1">
    <w:p w14:paraId="5BE644DD" w14:textId="77777777" w:rsidR="00746880" w:rsidRPr="00FE73CA" w:rsidRDefault="00746880"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63698A">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746880"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63698A">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3F9EA6D9" w:rsidR="000E04F6" w:rsidRPr="004A5A5D" w:rsidRDefault="00E20A2C" w:rsidP="00E20A2C">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 xml:space="preserve"> </w:t>
    </w:r>
    <w:r w:rsidR="00F64D32" w:rsidRPr="00F64D32">
      <w:rPr>
        <w:rFonts w:ascii="Garamond" w:eastAsia="Times New Roman" w:hAnsi="Garamond" w:cs="Times New Roman"/>
        <w:b/>
        <w:bCs/>
        <w:color w:val="767171" w:themeColor="background2" w:themeShade="80"/>
        <w:sz w:val="18"/>
        <w:szCs w:val="18"/>
      </w:rPr>
      <w:t>Multicriteria. Algo. Appl</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DDA5" w14:textId="77777777" w:rsidR="00A55167" w:rsidRDefault="00A55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1303"/>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8A"/>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6880"/>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6B5"/>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index.php/mawa/" TargetMode="External"/><Relationship Id="rId24" Type="http://schemas.openxmlformats.org/officeDocument/2006/relationships/hyperlink" Target="https://doi.org/10.1016/j.engstruct.2016.01.03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mawa"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C012A8D-5F46-4010-A3A5-5E26540F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26</cp:revision>
  <cp:lastPrinted>2023-08-13T12:59:00Z</cp:lastPrinted>
  <dcterms:created xsi:type="dcterms:W3CDTF">2023-11-19T13:32:00Z</dcterms:created>
  <dcterms:modified xsi:type="dcterms:W3CDTF">2024-08-04T07:42:00Z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