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5532044D" w:rsidR="00967748" w:rsidRPr="00CE6C1D" w:rsidRDefault="00CD0106" w:rsidP="00FB0E33">
            <w:pPr>
              <w:pStyle w:val="a6"/>
              <w:tabs>
                <w:tab w:val="center" w:pos="4378"/>
                <w:tab w:val="right" w:pos="8397"/>
                <w:tab w:val="right" w:pos="8860"/>
              </w:tabs>
              <w:bidi w:val="0"/>
              <w:spacing w:after="240" w:afterAutospacing="0"/>
              <w:ind w:left="-103" w:right="0" w:firstLine="0"/>
              <w:jc w:val="left"/>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31968" behindDoc="0" locked="0" layoutInCell="1" allowOverlap="1" wp14:anchorId="01B967FF" wp14:editId="1E8AB776">
                  <wp:simplePos x="0" y="0"/>
                  <wp:positionH relativeFrom="column">
                    <wp:posOffset>-48260</wp:posOffset>
                  </wp:positionH>
                  <wp:positionV relativeFrom="paragraph">
                    <wp:posOffset>404495</wp:posOffset>
                  </wp:positionV>
                  <wp:extent cx="1377250" cy="443853"/>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377250" cy="443853"/>
                          </a:xfrm>
                          <a:prstGeom prst="rect">
                            <a:avLst/>
                          </a:prstGeom>
                        </pic:spPr>
                      </pic:pic>
                    </a:graphicData>
                  </a:graphic>
                  <wp14:sizeRelH relativeFrom="margin">
                    <wp14:pctWidth>0</wp14:pctWidth>
                  </wp14:sizeRelH>
                  <wp14:sizeRelV relativeFrom="margin">
                    <wp14:pctHeight>0</wp14:pctHeight>
                  </wp14:sizeRelV>
                </wp:anchor>
              </w:drawing>
            </w:r>
            <w:r w:rsidRPr="00D14B7A">
              <w:rPr>
                <w:rFonts w:ascii="Garamond" w:hAnsi="Garamond"/>
                <w:noProof/>
                <w:spacing w:val="-6"/>
              </w:rPr>
              <w:drawing>
                <wp:anchor distT="0" distB="0" distL="114300" distR="114300" simplePos="0" relativeHeight="251729920" behindDoc="0" locked="0" layoutInCell="1" allowOverlap="1" wp14:anchorId="454B541C" wp14:editId="7ADBDB08">
                  <wp:simplePos x="0" y="0"/>
                  <wp:positionH relativeFrom="column">
                    <wp:posOffset>4723765</wp:posOffset>
                  </wp:positionH>
                  <wp:positionV relativeFrom="paragraph">
                    <wp:posOffset>194945</wp:posOffset>
                  </wp:positionV>
                  <wp:extent cx="954766" cy="701040"/>
                  <wp:effectExtent l="0" t="0" r="0" b="3810"/>
                  <wp:wrapNone/>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954766" cy="701040"/>
                          </a:xfrm>
                          <a:prstGeom prst="rect">
                            <a:avLst/>
                          </a:prstGeom>
                        </pic:spPr>
                      </pic:pic>
                    </a:graphicData>
                  </a:graphic>
                  <wp14:sizeRelH relativeFrom="margin">
                    <wp14:pctWidth>0</wp14:pctWidth>
                  </wp14:sizeRelH>
                  <wp14:sizeRelV relativeFrom="margin">
                    <wp14:pctHeight>0</wp14:pctHeight>
                  </wp14:sizeRelV>
                </wp:anchor>
              </w:drawing>
            </w:r>
            <w:r w:rsidR="00611112">
              <w:rPr>
                <w:rFonts w:ascii="Garamond" w:hAnsi="Garamond"/>
                <w:noProof/>
                <w:spacing w:val="-6"/>
                <w:lang w:bidi="fa-IR"/>
              </w:rPr>
              <w:tab/>
            </w:r>
            <w:r w:rsidR="00967748" w:rsidRPr="00D14B7A">
              <w:rPr>
                <w:rFonts w:ascii="Garamond" w:hAnsi="Garamond"/>
                <w:noProof/>
                <w:spacing w:val="-6"/>
                <w:lang w:bidi="fa-IR"/>
              </w:rPr>
              <w:t xml:space="preserve"> </w:t>
            </w:r>
            <w:r w:rsidR="00FB0E33" w:rsidRPr="00FB0E33">
              <w:rPr>
                <w:rFonts w:ascii="Garamond" w:hAnsi="Garamond"/>
                <w:noProof/>
                <w:color w:val="1F3864" w:themeColor="accent5" w:themeShade="80"/>
                <w:spacing w:val="-6"/>
                <w:sz w:val="36"/>
                <w:szCs w:val="36"/>
                <w:lang w:bidi="fa-IR"/>
              </w:rPr>
              <w:t>Sustainable Machine Intelligence Journal</w:t>
            </w:r>
            <w:r w:rsidR="00611112">
              <w:rPr>
                <w:rFonts w:ascii="Garamond" w:hAnsi="Garamond"/>
                <w:noProof/>
                <w:spacing w:val="-6"/>
                <w:sz w:val="36"/>
                <w:szCs w:val="36"/>
                <w:lang w:bidi="fa-IR"/>
              </w:rPr>
              <w:tab/>
            </w:r>
            <w:r w:rsidR="00611112">
              <w:rPr>
                <w:rFonts w:ascii="Garamond" w:hAnsi="Garamond"/>
                <w:noProof/>
                <w:spacing w:val="-6"/>
                <w:sz w:val="36"/>
                <w:szCs w:val="36"/>
                <w:lang w:bidi="fa-IR"/>
              </w:rPr>
              <w:tab/>
            </w:r>
          </w:p>
          <w:p w14:paraId="7C6DEB04" w14:textId="488DA99A" w:rsidR="00531E22" w:rsidRPr="00A1194E" w:rsidRDefault="00611112" w:rsidP="00611112">
            <w:pPr>
              <w:pStyle w:val="a6"/>
              <w:tabs>
                <w:tab w:val="center" w:pos="4378"/>
                <w:tab w:val="left" w:pos="6510"/>
                <w:tab w:val="right" w:pos="8397"/>
              </w:tabs>
              <w:bidi w:val="0"/>
              <w:spacing w:after="240" w:afterAutospacing="0" w:line="480" w:lineRule="auto"/>
              <w:ind w:left="-103" w:right="0" w:firstLine="0"/>
              <w:jc w:val="left"/>
              <w:rPr>
                <w:rFonts w:ascii="Garamond" w:hAnsi="Garamond"/>
                <w:b w:val="0"/>
                <w:bCs/>
                <w:noProof/>
                <w:color w:val="000000" w:themeColor="text1"/>
                <w:spacing w:val="-6"/>
                <w:sz w:val="24"/>
                <w:szCs w:val="24"/>
                <w:lang w:bidi="fa-IR"/>
              </w:rPr>
            </w:pPr>
            <w:r>
              <w:rPr>
                <w:rFonts w:ascii="Garamond" w:hAnsi="Garamond"/>
                <w:b w:val="0"/>
                <w:bCs/>
                <w:noProof/>
                <w:color w:val="000000" w:themeColor="text1"/>
                <w:spacing w:val="-6"/>
                <w:sz w:val="24"/>
                <w:szCs w:val="24"/>
                <w:lang w:bidi="fa-IR"/>
              </w:rPr>
              <w:tab/>
            </w:r>
            <w:r w:rsidR="00F91D5A" w:rsidRPr="00C77F1E">
              <w:rPr>
                <w:rFonts w:ascii="Garamond" w:hAnsi="Garamond"/>
                <w:noProof/>
                <w:color w:val="002060"/>
                <w:spacing w:val="-6"/>
                <w:sz w:val="20"/>
                <w:szCs w:val="20"/>
                <w:lang w:bidi="fa-IR"/>
              </w:rPr>
              <w:t xml:space="preserve"> Journal Homepage</w:t>
            </w:r>
            <w:r w:rsidR="00F91D5A" w:rsidRPr="00C77F1E">
              <w:rPr>
                <w:rFonts w:ascii="Garamond" w:hAnsi="Garamond"/>
                <w:b w:val="0"/>
                <w:bCs/>
                <w:noProof/>
                <w:color w:val="002060"/>
                <w:spacing w:val="-6"/>
                <w:sz w:val="20"/>
                <w:szCs w:val="20"/>
                <w:lang w:bidi="fa-IR"/>
              </w:rPr>
              <w:t xml:space="preserve">: </w:t>
            </w:r>
            <w:hyperlink r:id="rId14" w:history="1">
              <w:r w:rsidR="00A1194E" w:rsidRPr="00FB0E33">
                <w:rPr>
                  <w:rStyle w:val="Hyperlink"/>
                  <w:rFonts w:ascii="Garamond" w:hAnsi="Garamond"/>
                  <w:noProof/>
                  <w:spacing w:val="-6"/>
                  <w:sz w:val="20"/>
                  <w:szCs w:val="20"/>
                  <w:u w:val="none"/>
                  <w:lang w:bidi="fa-IR"/>
                </w:rPr>
                <w:t>sciencesforce.com/</w:t>
              </w:r>
              <w:r w:rsidR="00FD58FA" w:rsidRPr="00FB0E33">
                <w:rPr>
                  <w:rStyle w:val="Hyperlink"/>
                  <w:rFonts w:ascii="Garamond" w:hAnsi="Garamond"/>
                  <w:noProof/>
                  <w:spacing w:val="-6"/>
                  <w:sz w:val="20"/>
                  <w:szCs w:val="20"/>
                  <w:u w:val="none"/>
                  <w:lang w:bidi="fa-IR"/>
                </w:rPr>
                <w:t>s</w:t>
              </w:r>
              <w:r w:rsidR="00FB0E33" w:rsidRPr="00FB0E33">
                <w:rPr>
                  <w:rStyle w:val="Hyperlink"/>
                  <w:rFonts w:ascii="Garamond" w:hAnsi="Garamond"/>
                  <w:noProof/>
                  <w:spacing w:val="-6"/>
                  <w:sz w:val="20"/>
                  <w:szCs w:val="20"/>
                  <w:u w:val="none"/>
                  <w:lang w:bidi="fa-IR"/>
                </w:rPr>
                <w:t>mij</w:t>
              </w:r>
            </w:hyperlink>
            <w:r w:rsidR="00531E22" w:rsidRPr="00A1194E">
              <w:rPr>
                <w:rFonts w:ascii="Garamond" w:hAnsi="Garamond"/>
                <w:b w:val="0"/>
                <w:bCs/>
                <w:noProof/>
                <w:color w:val="000000" w:themeColor="text1"/>
                <w:spacing w:val="-6"/>
                <w:sz w:val="24"/>
                <w:szCs w:val="24"/>
                <w:lang w:bidi="fa-IR"/>
              </w:rPr>
              <w:tab/>
            </w:r>
          </w:p>
          <w:p w14:paraId="689D471C" w14:textId="4D0ED2E6" w:rsidR="003922BA" w:rsidRPr="00D14B7A" w:rsidRDefault="00546368" w:rsidP="009A77C9">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bookmarkStart w:id="0" w:name="_Hlk153266797"/>
            <w:r w:rsidR="00A1194E">
              <w:t xml:space="preserve"> </w:t>
            </w:r>
            <w:r w:rsidR="009A77C9">
              <w:rPr>
                <w:rFonts w:ascii="Garamond" w:hAnsi="Garamond"/>
                <w:b/>
                <w:bCs/>
                <w:color w:val="1F3864" w:themeColor="accent5" w:themeShade="80"/>
                <w:szCs w:val="22"/>
                <w:lang w:bidi="fa-IR"/>
              </w:rPr>
              <w:t>Sustain. Mach. Intell. J.</w:t>
            </w:r>
            <w:r w:rsidR="00F64D32" w:rsidRPr="00DD1100">
              <w:rPr>
                <w:rFonts w:ascii="Garamond" w:hAnsi="Garamond"/>
                <w:b/>
                <w:bCs/>
                <w:color w:val="1F3864" w:themeColor="accent5" w:themeShade="80"/>
                <w:szCs w:val="22"/>
                <w:lang w:bidi="fa-IR"/>
              </w:rPr>
              <w:t xml:space="preserve"> </w:t>
            </w:r>
            <w:bookmarkEnd w:id="0"/>
            <w:r w:rsidR="00813E9C" w:rsidRPr="00DD1100">
              <w:rPr>
                <w:rFonts w:ascii="Garamond" w:hAnsi="Garamond"/>
                <w:b/>
                <w:bCs/>
                <w:color w:val="1F3864" w:themeColor="accent5" w:themeShade="80"/>
                <w:sz w:val="20"/>
                <w:szCs w:val="20"/>
                <w:lang w:bidi="fa-IR"/>
              </w:rPr>
              <w:t xml:space="preserve">Vol. </w:t>
            </w:r>
            <w:r w:rsidR="00D40EB3" w:rsidRPr="00DD1100">
              <w:rPr>
                <w:rFonts w:ascii="Garamond" w:hAnsi="Garamond"/>
                <w:b/>
                <w:bCs/>
                <w:color w:val="1F3864" w:themeColor="accent5" w:themeShade="80"/>
                <w:sz w:val="20"/>
                <w:szCs w:val="20"/>
                <w:lang w:bidi="fa-IR"/>
              </w:rPr>
              <w:t>x</w:t>
            </w:r>
            <w:r w:rsidR="00E50A9F">
              <w:rPr>
                <w:rFonts w:ascii="Garamond" w:hAnsi="Garamond"/>
                <w:b/>
                <w:bCs/>
                <w:color w:val="1F3864" w:themeColor="accent5" w:themeShade="80"/>
                <w:sz w:val="20"/>
                <w:szCs w:val="20"/>
                <w:lang w:bidi="fa-IR"/>
              </w:rPr>
              <w:t xml:space="preserve"> </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xx</w:t>
            </w:r>
            <w:r w:rsidR="00813E9C" w:rsidRPr="00DD1100">
              <w:rPr>
                <w:rFonts w:ascii="Garamond" w:hAnsi="Garamond"/>
                <w:b/>
                <w:bCs/>
                <w:color w:val="1F3864" w:themeColor="accent5" w:themeShade="80"/>
                <w:sz w:val="20"/>
                <w:szCs w:val="20"/>
                <w:lang w:bidi="fa-IR"/>
              </w:rPr>
              <w:t xml:space="preserve">) </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p>
        </w:tc>
      </w:tr>
      <w:tr w:rsidR="001E71F5" w:rsidRPr="00D14B7A" w14:paraId="380CC513" w14:textId="77777777" w:rsidTr="0074311A">
        <w:trPr>
          <w:trHeight w:val="1235"/>
        </w:trPr>
        <w:tc>
          <w:tcPr>
            <w:tcW w:w="9076" w:type="dxa"/>
            <w:tcBorders>
              <w:top w:val="single" w:sz="4" w:space="0" w:color="auto"/>
            </w:tcBorders>
          </w:tcPr>
          <w:p w14:paraId="31B20849" w14:textId="4DA63C1E" w:rsidR="0080155B" w:rsidRPr="00DD1100" w:rsidRDefault="0002739F" w:rsidP="0080155B">
            <w:pPr>
              <w:pStyle w:val="Articletitle"/>
              <w:framePr w:hSpace="0" w:wrap="auto" w:vAnchor="margin" w:hAnchor="text" w:xAlign="left" w:yAlign="inline"/>
              <w:spacing w:after="0"/>
              <w:ind w:left="-108" w:firstLine="0"/>
              <w:suppressOverlap w:val="0"/>
              <w:rPr>
                <w:rFonts w:ascii="Garamond" w:hAnsi="Garamond"/>
                <w:bCs w:val="0"/>
                <w:color w:val="808000"/>
                <w:sz w:val="22"/>
                <w:szCs w:val="22"/>
                <w14:textOutline w14:w="0" w14:cap="flat" w14:cmpd="sng" w14:algn="ctr">
                  <w14:noFill/>
                  <w14:prstDash w14:val="solid"/>
                  <w14:round/>
                </w14:textOutline>
              </w:rPr>
            </w:pPr>
            <w:r w:rsidRPr="00DD1100">
              <w:rPr>
                <w:rFonts w:ascii="Garamond" w:hAnsi="Garamond"/>
                <w:bCs w:val="0"/>
                <w:color w:val="808000"/>
                <w:sz w:val="22"/>
                <w:szCs w:val="22"/>
                <w14:textOutline w14:w="0" w14:cap="flat" w14:cmpd="sng" w14:algn="ctr">
                  <w14:noFill/>
                  <w14:prstDash w14:val="solid"/>
                  <w14:round/>
                </w14:textOutline>
              </w:rPr>
              <w:t>Paper Type: Original Article</w:t>
            </w:r>
            <w:bookmarkStart w:id="1" w:name="_GoBack"/>
            <w:bookmarkEnd w:id="1"/>
          </w:p>
          <w:p w14:paraId="3E1EA0D4" w14:textId="392092F1" w:rsidR="00B948C8" w:rsidRPr="00DD1100" w:rsidRDefault="00DD7116" w:rsidP="00DD1100">
            <w:pPr>
              <w:pStyle w:val="Articletitle"/>
              <w:framePr w:hSpace="0" w:wrap="auto" w:vAnchor="margin" w:hAnchor="text" w:xAlign="left" w:yAlign="inline"/>
              <w:spacing w:before="0" w:after="0" w:line="276" w:lineRule="auto"/>
              <w:ind w:left="-108" w:firstLine="0"/>
              <w:suppressOverlap w:val="0"/>
              <w:jc w:val="center"/>
              <w:rPr>
                <w:rFonts w:ascii="Garamond" w:hAnsi="Garamond"/>
                <w:b w:val="0"/>
                <w:color w:val="000000" w:themeColor="text1"/>
              </w:rPr>
            </w:pPr>
            <w:r w:rsidRPr="00DD1100">
              <w:rPr>
                <w:rFonts w:ascii="Garamond" w:hAnsi="Garamond"/>
                <w:color w:val="1F3864" w:themeColor="accent5" w:themeShade="80"/>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243"/>
      </w:tblGrid>
      <w:tr w:rsidR="0080155B" w:rsidRPr="00D14B7A" w14:paraId="63755C4A" w14:textId="77777777" w:rsidTr="00611112">
        <w:trPr>
          <w:trHeight w:val="2574"/>
        </w:trPr>
        <w:tc>
          <w:tcPr>
            <w:tcW w:w="9243" w:type="dxa"/>
          </w:tcPr>
          <w:p w14:paraId="31853E79" w14:textId="65398617" w:rsidR="008D02FF" w:rsidRPr="00D14B7A" w:rsidRDefault="008D02FF" w:rsidP="00DD1100">
            <w:pPr>
              <w:pStyle w:val="Author"/>
              <w:framePr w:hSpace="0" w:wrap="auto" w:vAnchor="margin" w:hAnchor="text" w:xAlign="left" w:yAlign="inline"/>
              <w:spacing w:after="0" w:line="276" w:lineRule="auto"/>
              <w:ind w:firstLine="0"/>
              <w:suppressOverlap w:val="0"/>
              <w:jc w:val="center"/>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00F71BC6">
              <w:rPr>
                <w:rFonts w:ascii="Garamond" w:eastAsiaTheme="minorHAnsi" w:hAnsi="Garamond" w:cs="XB Kayhan"/>
                <w:color w:val="000000"/>
                <w:sz w:val="20"/>
                <w:szCs w:val="20"/>
                <w:lang w:bidi="ar-SA"/>
              </w:rPr>
              <w:t>and</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00C65E12" w:rsidRPr="00D14B7A">
              <w:rPr>
                <w:rFonts w:ascii="Garamond" w:hAnsi="Garamond"/>
                <w:noProof/>
                <w:sz w:val="20"/>
                <w:szCs w:val="20"/>
                <w:lang w:bidi="ar-SA"/>
              </w:rPr>
              <w:drawing>
                <wp:inline distT="0" distB="0" distL="0" distR="0" wp14:anchorId="373DF0DB" wp14:editId="5E4DDA7F">
                  <wp:extent cx="167640" cy="167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p>
          <w:p w14:paraId="5FBA6BD7" w14:textId="541FA628"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5AF8A085"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50D33D41" w14:textId="77777777" w:rsidR="003E754E" w:rsidRDefault="008D02FF" w:rsidP="00F10389">
            <w:pPr>
              <w:pStyle w:val="Affiliation"/>
              <w:framePr w:hSpace="0" w:wrap="auto" w:vAnchor="margin" w:hAnchor="text" w:xAlign="left" w:yAlign="inline"/>
              <w:ind w:left="38" w:hanging="38"/>
              <w:suppressOverlap w:val="0"/>
            </w:pPr>
            <w:r w:rsidRPr="00D14B7A">
              <w:rPr>
                <w:vertAlign w:val="superscript"/>
              </w:rPr>
              <w:t xml:space="preserve">2 </w:t>
            </w:r>
            <w:r w:rsidRPr="00D14B7A">
              <w:t xml:space="preserve"> Affiliation; Email Address;</w:t>
            </w:r>
          </w:p>
          <w:p w14:paraId="3BD17A98" w14:textId="77777777" w:rsidR="003E754E" w:rsidRDefault="003E754E" w:rsidP="00F10389">
            <w:pPr>
              <w:pStyle w:val="Affiliation"/>
              <w:framePr w:hSpace="0" w:wrap="auto" w:vAnchor="margin" w:hAnchor="text" w:xAlign="left" w:yAlign="inline"/>
              <w:ind w:left="38" w:hanging="38"/>
              <w:suppressOverlap w:val="0"/>
            </w:pPr>
          </w:p>
          <w:p w14:paraId="75C5B33C" w14:textId="39405D14" w:rsidR="00DD1100" w:rsidRPr="00DD1100" w:rsidRDefault="00DD1100" w:rsidP="00DD1100">
            <w:pPr>
              <w:pStyle w:val="Affiliation"/>
              <w:framePr w:hSpace="0" w:wrap="auto" w:vAnchor="margin" w:hAnchor="text" w:xAlign="left" w:yAlign="inline"/>
              <w:ind w:left="38" w:hanging="38"/>
              <w:suppressOverlap w:val="0"/>
              <w:jc w:val="both"/>
              <w:rPr>
                <w:sz w:val="20"/>
                <w:szCs w:val="20"/>
              </w:rPr>
            </w:pPr>
            <w:r w:rsidRPr="000871DC">
              <w:rPr>
                <w:b/>
                <w:bCs/>
                <w:color w:val="1F3864" w:themeColor="accent5" w:themeShade="80"/>
                <w:sz w:val="20"/>
                <w:szCs w:val="20"/>
              </w:rPr>
              <w:t>Received</w:t>
            </w:r>
            <w:r w:rsidRPr="00E80E6F">
              <w:rPr>
                <w:b/>
                <w:bCs/>
                <w:sz w:val="20"/>
                <w:szCs w:val="20"/>
              </w:rPr>
              <w:t>:</w:t>
            </w:r>
            <w:r>
              <w:rPr>
                <w:sz w:val="20"/>
                <w:szCs w:val="20"/>
              </w:rPr>
              <w:t xml:space="preserve"> 00 Jan 2024</w:t>
            </w:r>
            <w:r w:rsidRPr="00E80E6F">
              <w:rPr>
                <w:sz w:val="20"/>
                <w:szCs w:val="20"/>
              </w:rPr>
              <w:t xml:space="preserve"> </w:t>
            </w:r>
            <w:r>
              <w:rPr>
                <w:sz w:val="20"/>
                <w:szCs w:val="20"/>
              </w:rPr>
              <w:t xml:space="preserve">         </w:t>
            </w:r>
            <w:r w:rsidRPr="00E80E6F">
              <w:rPr>
                <w:sz w:val="20"/>
                <w:szCs w:val="20"/>
              </w:rPr>
              <w:t xml:space="preserve"> </w:t>
            </w:r>
            <w:r w:rsidRPr="000871DC">
              <w:rPr>
                <w:b/>
                <w:bCs/>
                <w:color w:val="1F3864" w:themeColor="accent5" w:themeShade="80"/>
                <w:sz w:val="20"/>
                <w:szCs w:val="20"/>
              </w:rPr>
              <w:t>Revised</w:t>
            </w:r>
            <w:r w:rsidRPr="00E80E6F">
              <w:rPr>
                <w:sz w:val="20"/>
                <w:szCs w:val="20"/>
              </w:rPr>
              <w:t xml:space="preserve">: </w:t>
            </w:r>
            <w:r>
              <w:rPr>
                <w:sz w:val="20"/>
                <w:szCs w:val="20"/>
              </w:rPr>
              <w:t xml:space="preserve">00 Jan 2024           </w:t>
            </w:r>
            <w:r w:rsidRPr="000871DC">
              <w:rPr>
                <w:b/>
                <w:bCs/>
                <w:color w:val="1F3864" w:themeColor="accent5" w:themeShade="80"/>
                <w:sz w:val="20"/>
                <w:szCs w:val="20"/>
              </w:rPr>
              <w:t>Accepted</w:t>
            </w:r>
            <w:r>
              <w:rPr>
                <w:sz w:val="20"/>
                <w:szCs w:val="20"/>
              </w:rPr>
              <w:t xml:space="preserve">: </w:t>
            </w:r>
            <w:r w:rsidRPr="00E80E6F">
              <w:rPr>
                <w:sz w:val="20"/>
                <w:szCs w:val="20"/>
              </w:rPr>
              <w:t>0</w:t>
            </w:r>
            <w:r>
              <w:rPr>
                <w:sz w:val="20"/>
                <w:szCs w:val="20"/>
              </w:rPr>
              <w:t xml:space="preserve">0 Jan 2024           </w:t>
            </w:r>
            <w:r w:rsidRPr="00E80E6F">
              <w:rPr>
                <w:sz w:val="20"/>
                <w:szCs w:val="20"/>
              </w:rPr>
              <w:t xml:space="preserve"> </w:t>
            </w:r>
            <w:r w:rsidRPr="000871DC">
              <w:rPr>
                <w:b/>
                <w:bCs/>
                <w:color w:val="1F3864" w:themeColor="accent5" w:themeShade="80"/>
                <w:sz w:val="20"/>
                <w:szCs w:val="20"/>
              </w:rPr>
              <w:t>Published</w:t>
            </w:r>
            <w:r>
              <w:rPr>
                <w:sz w:val="20"/>
                <w:szCs w:val="20"/>
              </w:rPr>
              <w:t>: 00</w:t>
            </w:r>
            <w:r w:rsidRPr="00E80E6F">
              <w:rPr>
                <w:sz w:val="20"/>
                <w:szCs w:val="20"/>
              </w:rPr>
              <w:t xml:space="preserve"> Jan 2024</w:t>
            </w:r>
          </w:p>
          <w:p w14:paraId="4DB4E015" w14:textId="6E58F4A1" w:rsidR="008D02FF" w:rsidRPr="00D14B7A" w:rsidRDefault="008D02FF" w:rsidP="00F10389">
            <w:pPr>
              <w:pStyle w:val="Affiliation"/>
              <w:framePr w:hSpace="0" w:wrap="auto" w:vAnchor="margin" w:hAnchor="text" w:xAlign="left" w:yAlign="inline"/>
              <w:ind w:left="38" w:hanging="38"/>
              <w:suppressOverlap w:val="0"/>
              <w:rPr>
                <w:sz w:val="6"/>
                <w:szCs w:val="6"/>
              </w:rPr>
            </w:pPr>
          </w:p>
          <w:tbl>
            <w:tblPr>
              <w:tblStyle w:val="TableGrid"/>
              <w:tblpPr w:leftFromText="181" w:rightFromText="181" w:vertAnchor="text" w:horzAnchor="margin" w:tblpY="617"/>
              <w:tblOverlap w:val="never"/>
              <w:tblW w:w="0" w:type="auto"/>
              <w:shd w:val="clear" w:color="auto" w:fill="D9D9D9" w:themeFill="background1" w:themeFillShade="D9"/>
              <w:tblLook w:val="04A0" w:firstRow="1" w:lastRow="0" w:firstColumn="1" w:lastColumn="0" w:noHBand="0" w:noVBand="1"/>
            </w:tblPr>
            <w:tblGrid>
              <w:gridCol w:w="9023"/>
            </w:tblGrid>
            <w:tr w:rsidR="00611112" w:rsidRPr="00D14B7A" w14:paraId="3372224F" w14:textId="77777777" w:rsidTr="00611112">
              <w:trPr>
                <w:trHeight w:val="1147"/>
              </w:trPr>
              <w:tc>
                <w:tcPr>
                  <w:tcW w:w="9023" w:type="dxa"/>
                  <w:tcBorders>
                    <w:top w:val="nil"/>
                    <w:left w:val="nil"/>
                    <w:bottom w:val="nil"/>
                    <w:right w:val="nil"/>
                  </w:tcBorders>
                  <w:shd w:val="clear" w:color="auto" w:fill="F2F2F2" w:themeFill="background1" w:themeFillShade="F2"/>
                </w:tcPr>
                <w:p w14:paraId="00B178C1" w14:textId="77777777" w:rsidR="00611112" w:rsidRPr="00D14B7A" w:rsidRDefault="00611112" w:rsidP="00611112">
                  <w:pPr>
                    <w:pStyle w:val="Abstractt"/>
                    <w:framePr w:hSpace="0" w:wrap="auto" w:vAnchor="margin" w:hAnchor="text" w:xAlign="left" w:yAlign="inline"/>
                    <w:spacing w:before="0" w:after="100"/>
                    <w:ind w:right="0"/>
                    <w:suppressOverlap w:val="0"/>
                    <w:rPr>
                      <w:iCs w:val="0"/>
                    </w:rPr>
                  </w:pPr>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p>
              </w:tc>
            </w:tr>
            <w:tr w:rsidR="00611112" w:rsidRPr="00D14B7A" w14:paraId="24183FFD" w14:textId="77777777" w:rsidTr="00611112">
              <w:trPr>
                <w:trHeight w:val="407"/>
              </w:trPr>
              <w:tc>
                <w:tcPr>
                  <w:tcW w:w="9023" w:type="dxa"/>
                  <w:tcBorders>
                    <w:top w:val="nil"/>
                    <w:left w:val="nil"/>
                    <w:bottom w:val="single" w:sz="12" w:space="0" w:color="767171"/>
                    <w:right w:val="nil"/>
                  </w:tcBorders>
                  <w:shd w:val="clear" w:color="auto" w:fill="F2F2F2" w:themeFill="background1" w:themeFillShade="F2"/>
                </w:tcPr>
                <w:p w14:paraId="3C9B1242" w14:textId="77777777" w:rsidR="00611112" w:rsidRPr="00D14B7A" w:rsidRDefault="00611112" w:rsidP="00611112">
                  <w:pPr>
                    <w:pStyle w:val="abstractt0"/>
                    <w:spacing w:after="120" w:afterAutospacing="0" w:line="240" w:lineRule="auto"/>
                    <w:ind w:left="0" w:right="0" w:firstLine="0"/>
                    <w:rPr>
                      <w:rFonts w:ascii="Garamond" w:hAnsi="Garamond"/>
                      <w:color w:val="1F4E79" w:themeColor="accent1" w:themeShade="80"/>
                      <w:sz w:val="18"/>
                      <w:szCs w:val="18"/>
                    </w:rPr>
                  </w:pPr>
                  <w:r w:rsidRPr="00DD1100">
                    <w:rPr>
                      <w:rFonts w:ascii="Garamond" w:hAnsi="Garamond"/>
                      <w:b/>
                      <w:bCs/>
                      <w:color w:val="1F3864" w:themeColor="accent5" w:themeShade="80"/>
                      <w:sz w:val="18"/>
                      <w:szCs w:val="18"/>
                    </w:rPr>
                    <w:t>Keywords:</w:t>
                  </w:r>
                  <w:r w:rsidRPr="00DD1100">
                    <w:rPr>
                      <w:rFonts w:ascii="Garamond" w:hAnsi="Garamond"/>
                      <w:color w:val="1F3864" w:themeColor="accent5" w:themeShade="80"/>
                      <w:sz w:val="18"/>
                      <w:szCs w:val="18"/>
                    </w:rPr>
                    <w:t>(</w:t>
                  </w:r>
                  <w:r w:rsidRPr="00D14B7A">
                    <w:rPr>
                      <w:rFonts w:ascii="Garamond" w:hAnsi="Garamond"/>
                      <w:sz w:val="18"/>
                      <w:szCs w:val="18"/>
                    </w:rPr>
                    <w:t>Sentence case and followed by colon) followed by 3 to 7 words that describe the focus and contribution of the paper.</w:t>
                  </w:r>
                </w:p>
              </w:tc>
            </w:tr>
          </w:tbl>
          <w:p w14:paraId="0DF0D2BE" w14:textId="77777777" w:rsidR="00611112" w:rsidRDefault="00611112" w:rsidP="00611112">
            <w:pPr>
              <w:bidi w:val="0"/>
              <w:spacing w:before="0" w:beforeAutospacing="0" w:after="0" w:afterAutospacing="0"/>
              <w:ind w:left="0" w:right="751"/>
              <w:jc w:val="left"/>
              <w:rPr>
                <w:rFonts w:ascii="Garamond" w:hAnsi="Garamond"/>
                <w:b/>
                <w:bCs/>
                <w:color w:val="000000" w:themeColor="text1"/>
                <w:sz w:val="24"/>
                <w:szCs w:val="24"/>
              </w:rPr>
            </w:pPr>
          </w:p>
          <w:p w14:paraId="4DAE4654" w14:textId="6AD178D2" w:rsidR="00D14B7A" w:rsidRPr="00611112" w:rsidRDefault="00D14B7A" w:rsidP="00611112">
            <w:pPr>
              <w:bidi w:val="0"/>
              <w:spacing w:before="0" w:beforeAutospacing="0" w:after="0" w:afterAutospacing="0"/>
              <w:ind w:left="0" w:right="751"/>
              <w:jc w:val="left"/>
              <w:rPr>
                <w:rtl/>
              </w:rPr>
            </w:pPr>
            <w:r w:rsidRPr="00DD1100">
              <w:rPr>
                <w:rFonts w:ascii="Garamond" w:hAnsi="Garamond"/>
                <w:b/>
                <w:bCs/>
                <w:color w:val="1F3864" w:themeColor="accent5" w:themeShade="80"/>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p w14:paraId="34A34273" w14:textId="3E81E186" w:rsidR="00732C33" w:rsidRPr="00D14B7A" w:rsidRDefault="00732C33" w:rsidP="0077346F">
      <w:pPr>
        <w:pStyle w:val="BODY0"/>
        <w:bidi/>
        <w:ind w:left="0"/>
        <w:rPr>
          <w:rFonts w:cstheme="minorBidi"/>
          <w:sz w:val="18"/>
          <w:szCs w:val="14"/>
          <w:rtl/>
          <w:lang w:bidi="fa-IR"/>
        </w:rPr>
      </w:pPr>
    </w:p>
    <w:p w14:paraId="38E84A8E" w14:textId="293AE182"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2BA48548" w:rsidR="00ED7BAC" w:rsidRPr="00D14B7A" w:rsidRDefault="00ED7BAC" w:rsidP="003E754E">
      <w:pPr>
        <w:pStyle w:val="HEADING11"/>
        <w:numPr>
          <w:ilvl w:val="0"/>
          <w:numId w:val="23"/>
        </w:numPr>
        <w:tabs>
          <w:tab w:val="left" w:pos="720"/>
          <w:tab w:val="left" w:pos="1440"/>
          <w:tab w:val="left" w:pos="2160"/>
          <w:tab w:val="left" w:pos="2880"/>
          <w:tab w:val="left" w:pos="8221"/>
        </w:tabs>
        <w:rPr>
          <w:color w:val="000000" w:themeColor="text1"/>
        </w:rPr>
      </w:pPr>
      <w:r w:rsidRPr="00DD1100">
        <w:rPr>
          <w:color w:val="1F3864" w:themeColor="accent5" w:themeShade="80"/>
        </w:rPr>
        <w:t>|Introduction</w:t>
      </w:r>
      <w:r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2C3924EB"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and in 1</w:t>
      </w:r>
      <w:r w:rsidR="008D351F" w:rsidRPr="00D14B7A">
        <w:rPr>
          <w:rtl/>
        </w:rPr>
        <w:t>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23B668C" w14:textId="131737CD" w:rsidR="003E754E" w:rsidRPr="00DD1100" w:rsidRDefault="00476274" w:rsidP="003E754E">
      <w:pPr>
        <w:pStyle w:val="HEADING20"/>
        <w:numPr>
          <w:ilvl w:val="1"/>
          <w:numId w:val="23"/>
        </w:numPr>
        <w:rPr>
          <w:color w:val="1F3864" w:themeColor="accent5" w:themeShade="80"/>
        </w:rPr>
      </w:pPr>
      <w:r w:rsidRPr="00DD1100">
        <w:rPr>
          <w:color w:val="1F3864" w:themeColor="accent5" w:themeShade="80"/>
        </w:rPr>
        <w:t>|</w:t>
      </w:r>
      <w:r w:rsidR="00707D42" w:rsidRPr="00DD1100">
        <w:rPr>
          <w:color w:val="1F3864" w:themeColor="accent5" w:themeShade="80"/>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009CF08D" w:rsidR="00A55167"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5BC9758A" w14:textId="77777777" w:rsidR="00A55167" w:rsidRPr="00A55167" w:rsidRDefault="00A55167" w:rsidP="00A55167">
      <w:pPr>
        <w:jc w:val="center"/>
      </w:pPr>
    </w:p>
    <w:p w14:paraId="1FC4F197" w14:textId="6174E030" w:rsidR="00707D42" w:rsidRPr="00A55167" w:rsidRDefault="00707D42" w:rsidP="00A55167"/>
    <w:p w14:paraId="2577FB1E" w14:textId="14FC11F8"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3E754E">
        <w:rPr>
          <w:szCs w:val="22"/>
        </w:rPr>
        <w:t>Fig</w:t>
      </w:r>
      <w:r w:rsidR="003E754E" w:rsidRPr="003E754E">
        <w:rPr>
          <w:szCs w:val="22"/>
        </w:rPr>
        <w:t>ure</w:t>
      </w:r>
      <w:r w:rsidRPr="003E754E">
        <w:rPr>
          <w:szCs w:val="22"/>
        </w:rPr>
        <w:t xml:space="preserve"> 1</w:t>
      </w:r>
      <w:r w:rsidRPr="00D14B7A">
        <w:rPr>
          <w:szCs w:val="22"/>
        </w:rPr>
        <w:t xml:space="preserve">) must be numbered consecutively, 1, 2, etc., from start to finish of the paper, ignoring sections and subsections. Tables (e.g., </w:t>
      </w:r>
      <w:r w:rsidRPr="003E754E">
        <w:rPr>
          <w:szCs w:val="22"/>
        </w:rPr>
        <w:t>Table 1)</w:t>
      </w:r>
      <w:r w:rsidRPr="00D14B7A">
        <w:rPr>
          <w:szCs w:val="22"/>
        </w:rPr>
        <w:t xml:space="preserve">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283EA9C7" w:rsidR="00D3672E" w:rsidRPr="00D14B7A" w:rsidRDefault="00D3672E" w:rsidP="00D90A29">
      <w:pPr>
        <w:pStyle w:val="Figure"/>
        <w:rPr>
          <w:color w:val="000000" w:themeColor="text1"/>
        </w:rPr>
      </w:pPr>
      <w:r w:rsidRPr="00D14B7A">
        <w:rPr>
          <w:color w:val="000000" w:themeColor="text1"/>
        </w:rPr>
        <w:t>Fig</w:t>
      </w:r>
      <w:r w:rsidR="003E754E">
        <w:rPr>
          <w:color w:val="000000" w:themeColor="text1"/>
        </w:rPr>
        <w:t>ure</w:t>
      </w:r>
      <w:r w:rsidRPr="00D14B7A">
        <w:rPr>
          <w:color w:val="000000" w:themeColor="text1"/>
        </w:rPr>
        <w:t xml:space="preserve"> 1. </w:t>
      </w:r>
      <w:r w:rsidRPr="003E754E">
        <w:rPr>
          <w:b w:val="0"/>
          <w:bCs/>
          <w:color w:val="000000" w:themeColor="text1"/>
        </w:rPr>
        <w:t>Network with eight vertices.</w:t>
      </w:r>
    </w:p>
    <w:p w14:paraId="154D6322" w14:textId="77777777" w:rsidR="00D05C30" w:rsidRPr="00D14B7A" w:rsidRDefault="00D05C30" w:rsidP="00426704">
      <w:pPr>
        <w:pStyle w:val="BODY0"/>
        <w:spacing w:after="0"/>
      </w:pPr>
    </w:p>
    <w:p w14:paraId="1D7E8C9E" w14:textId="0703F736" w:rsidR="0056787F" w:rsidRPr="00D14B7A" w:rsidRDefault="00C23B0A" w:rsidP="00E20A2C">
      <w:pPr>
        <w:pStyle w:val="Figure"/>
        <w:spacing w:after="0"/>
        <w:rPr>
          <w:color w:val="000000" w:themeColor="text1"/>
        </w:rPr>
      </w:pPr>
      <w:r w:rsidRPr="00D14B7A">
        <w:rPr>
          <w:color w:val="000000" w:themeColor="text1"/>
        </w:rPr>
        <w:t xml:space="preserve">Table 1. </w:t>
      </w:r>
      <w:r w:rsidRPr="003E754E">
        <w:rPr>
          <w:b w:val="0"/>
          <w:bCs/>
          <w:color w:val="000000" w:themeColor="text1"/>
        </w:rPr>
        <w:t>List of Arc lengths</w:t>
      </w:r>
      <w:r w:rsidR="003E754E">
        <w:rPr>
          <w:b w:val="0"/>
          <w:bCs/>
          <w:color w:val="000000" w:themeColor="text1"/>
        </w:rPr>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24A33582" w14:textId="24487912" w:rsidR="003E754E" w:rsidRPr="00DD1100" w:rsidRDefault="003E754E" w:rsidP="00DD1100">
      <w:pPr>
        <w:pStyle w:val="HEADING30"/>
      </w:pPr>
      <w:r w:rsidRPr="00DD1100">
        <w:t>1.1.1</w:t>
      </w:r>
      <w:r w:rsidR="00FC1F0A" w:rsidRPr="00DD1100">
        <w:t>| Variables and equatio</w:t>
      </w:r>
      <w:r w:rsidR="00FC1F0A" w:rsidRPr="00DD1100">
        <w:rPr>
          <w:rStyle w:val="HEADING3Char0"/>
          <w:b/>
          <w:bCs/>
        </w:rPr>
        <w:t>n</w:t>
      </w:r>
      <w:r w:rsidR="00FC1F0A" w:rsidRPr="00DD1100">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7" o:title=""/>
                </v:shape>
                <o:OLEObject Type="Embed" ProgID="Equation.DSMT4" ShapeID="_x0000_i1025" DrawAspect="Content" ObjectID="_1779322012" r:id="rId18"/>
              </w:object>
            </w:r>
          </w:p>
        </w:tc>
        <w:tc>
          <w:tcPr>
            <w:tcW w:w="622" w:type="dxa"/>
            <w:vAlign w:val="center"/>
          </w:tcPr>
          <w:p w14:paraId="434E39D1" w14:textId="77777777" w:rsidR="004A5A5D" w:rsidRPr="00E20A2C" w:rsidRDefault="004A5A5D" w:rsidP="004A5A5D">
            <w:pPr>
              <w:bidi w:val="0"/>
              <w:ind w:left="0" w:right="0"/>
              <w:jc w:val="left"/>
              <w:rPr>
                <w:rFonts w:ascii="Garamond" w:hAnsi="Garamond" w:cs="Adobe Garamond Pro"/>
                <w:color w:val="262626" w:themeColor="text1" w:themeTint="D9"/>
                <w:szCs w:val="22"/>
              </w:rPr>
            </w:pPr>
            <w:r w:rsidRPr="00E20A2C">
              <w:rPr>
                <w:rFonts w:ascii="Garamond" w:hAnsi="Garamond" w:cs="Adobe Garamond Pro"/>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4.25pt;mso-width-percent:0;mso-height-percent:0;mso-width-percent:0;mso-height-percent:0" o:ole="">
            <v:imagedata r:id="rId19" o:title=""/>
          </v:shape>
          <o:OLEObject Type="Embed" ProgID="Equation.DSMT4" ShapeID="_x0000_i1026" DrawAspect="Content" ObjectID="_1779322013" r:id="rId20"/>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t>Note: For all equations produced by the Equation Tool, it is required to use the Cambria Math font with a font size of 10 pt. for in-text and 11 pt. for numbered equations.</w:t>
      </w:r>
    </w:p>
    <w:p w14:paraId="3781A4F5" w14:textId="7D79E3BD" w:rsidR="00FC1F0A" w:rsidRPr="00DD1100" w:rsidRDefault="00FC1F0A" w:rsidP="00F10389">
      <w:pPr>
        <w:pStyle w:val="HEADING11"/>
        <w:ind w:firstLine="142"/>
        <w:rPr>
          <w:color w:val="1F3864" w:themeColor="accent5" w:themeShade="80"/>
          <w:sz w:val="28"/>
          <w:szCs w:val="28"/>
        </w:rPr>
      </w:pPr>
      <w:r w:rsidRPr="00DD1100">
        <w:rPr>
          <w:color w:val="1F3864" w:themeColor="accent5" w:themeShade="80"/>
          <w:sz w:val="28"/>
          <w:szCs w:val="28"/>
        </w:rPr>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 xml:space="preserve">Author </w:t>
      </w:r>
      <w:proofErr w:type="spellStart"/>
      <w:r w:rsidRPr="00DD1100">
        <w:rPr>
          <w:color w:val="1F3864" w:themeColor="accent5" w:themeShade="80"/>
          <w:sz w:val="28"/>
          <w:szCs w:val="28"/>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21"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22" w:history="1">
        <w:r w:rsidR="00363F15" w:rsidRPr="00D14B7A">
          <w:rPr>
            <w:rStyle w:val="Hyperlink"/>
            <w:b/>
            <w:bCs/>
          </w:rPr>
          <w:t>DAS</w:t>
        </w:r>
      </w:hyperlink>
      <w:r w:rsidR="00363F15" w:rsidRPr="00D14B7A">
        <w:t xml:space="preserve"> file.</w:t>
      </w:r>
    </w:p>
    <w:p w14:paraId="351CEAFD" w14:textId="39489AF1"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23" w:history="1">
        <w:r w:rsidR="00674526" w:rsidRPr="00D14B7A">
          <w:rPr>
            <w:rStyle w:val="Hyperlink"/>
            <w:bCs/>
          </w:rPr>
          <w:t>CID</w:t>
        </w:r>
      </w:hyperlink>
      <w:r w:rsidR="00363F15" w:rsidRPr="00D14B7A">
        <w:t xml:space="preserve"> file.</w:t>
      </w:r>
    </w:p>
    <w:p w14:paraId="7D8EEE18" w14:textId="57614EE9" w:rsidR="00FC1F0A" w:rsidRPr="00DD1100" w:rsidRDefault="00FC1F0A" w:rsidP="00F10389">
      <w:pPr>
        <w:pStyle w:val="HEADING11"/>
        <w:ind w:firstLine="142"/>
        <w:rPr>
          <w:color w:val="1F3864" w:themeColor="accent5" w:themeShade="80"/>
          <w:szCs w:val="32"/>
        </w:rPr>
      </w:pPr>
      <w:r w:rsidRPr="00DD1100">
        <w:rPr>
          <w:color w:val="1F3864" w:themeColor="accent5" w:themeShade="80"/>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3617C05F" w14:textId="1BDFF819" w:rsidR="004A5A5D" w:rsidRPr="00D14B7A" w:rsidRDefault="00FC1F0A" w:rsidP="00170D0A">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24"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5"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lastRenderedPageBreak/>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6"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D1100" w:rsidRDefault="001A3C23" w:rsidP="00F10389">
      <w:pPr>
        <w:pStyle w:val="HEADING11"/>
        <w:ind w:firstLine="284"/>
        <w:rPr>
          <w:color w:val="1F3864" w:themeColor="accent5" w:themeShade="80"/>
        </w:rPr>
      </w:pPr>
      <w:r w:rsidRPr="00DD1100">
        <w:rPr>
          <w:color w:val="1F3864" w:themeColor="accent5" w:themeShade="80"/>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39E3A8D0" w14:textId="77777777" w:rsidR="006173C9" w:rsidRDefault="006173C9" w:rsidP="00DA44E8">
      <w:pPr>
        <w:pStyle w:val="BODY0"/>
        <w:ind w:left="0"/>
      </w:pPr>
    </w:p>
    <w:p w14:paraId="5EE199A5" w14:textId="77777777" w:rsidR="006173C9" w:rsidRDefault="006173C9" w:rsidP="00395642">
      <w:pPr>
        <w:pStyle w:val="BODY0"/>
      </w:pPr>
    </w:p>
    <w:p w14:paraId="02452CA6" w14:textId="77777777" w:rsidR="00DA44E8" w:rsidRPr="00D14B7A" w:rsidRDefault="00DA44E8" w:rsidP="00DA44E8">
      <w:pPr>
        <w:pStyle w:val="BODY0"/>
      </w:pPr>
      <w:r w:rsidRPr="00EA4455">
        <w:rPr>
          <w:b/>
          <w:bCs/>
        </w:rPr>
        <w:t>Disclaimer/Publisher’s Note:</w:t>
      </w:r>
      <w:r w:rsidRPr="00EA4455">
        <w:t xml:space="preserve"> The perspectives, opinions, and data shared in all publications are the sole responsibility of the individual authors and contributors, and do not necessarily reflect the views of Sciences Force or the editorial team. Sciences Force and the editorial team disclaim any liability for potential harm to individuals or property resulting from the ideas, methods, instructions, or products referenced in the content.</w:t>
      </w: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731FEA">
      <w:headerReference w:type="even" r:id="rId27"/>
      <w:headerReference w:type="default" r:id="rId28"/>
      <w:footerReference w:type="even" r:id="rId29"/>
      <w:footerReference w:type="default" r:id="rId30"/>
      <w:footerReference w:type="first" r:id="rId31"/>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F26EC" w14:textId="77777777" w:rsidR="007C7CDA" w:rsidRPr="00FE73CA" w:rsidRDefault="007C7CDA" w:rsidP="00FA44F9">
      <w:r w:rsidRPr="00FE73CA">
        <w:separator/>
      </w:r>
    </w:p>
  </w:endnote>
  <w:endnote w:type="continuationSeparator" w:id="0">
    <w:p w14:paraId="07108E25" w14:textId="77777777" w:rsidR="007C7CDA" w:rsidRPr="00FE73CA" w:rsidRDefault="007C7CDA" w:rsidP="00FA44F9">
      <w:r w:rsidRPr="00FE73CA">
        <w:continuationSeparator/>
      </w:r>
    </w:p>
  </w:endnote>
  <w:endnote w:type="continuationNotice" w:id="1">
    <w:p w14:paraId="5B9DDB44" w14:textId="77777777" w:rsidR="007C7CDA" w:rsidRDefault="007C7CD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Times New Roman"/>
    <w:charset w:val="B2"/>
    <w:family w:val="auto"/>
    <w:pitch w:val="variable"/>
    <w:sig w:usb0="00002000"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dobe Gurmukhi">
    <w:altName w:val="Nirmala UI"/>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Times New Roman"/>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D63CB" w14:textId="13A98053" w:rsidR="00AC1AA5" w:rsidRDefault="00AC1AA5" w:rsidP="00AC1AA5">
    <w:pPr>
      <w:pStyle w:val="Affiliation"/>
      <w:framePr w:hSpace="0" w:wrap="auto" w:vAnchor="margin" w:hAnchor="text" w:xAlign="left" w:yAlign="inline"/>
      <w:spacing w:before="240"/>
      <w:ind w:left="426"/>
      <w:suppressOverlap w:val="0"/>
      <w:rPr>
        <w:rFonts w:ascii="Palatino Linotype" w:hAnsi="Palatino Linotype"/>
        <w:color w:val="767171" w:themeColor="background2" w:themeShade="80"/>
        <w:lang w:bidi="fa-IR"/>
      </w:rPr>
    </w:pPr>
    <w:r w:rsidRPr="003922BA">
      <w:rPr>
        <w:rFonts w:ascii="Book Antiqua" w:hAnsi="Book Antiqua"/>
        <w:noProof/>
        <w:color w:val="767171" w:themeColor="background2" w:themeShade="80"/>
      </w:rPr>
      <w:drawing>
        <wp:anchor distT="0" distB="0" distL="114300" distR="114300" simplePos="0" relativeHeight="251663360" behindDoc="0" locked="0" layoutInCell="1" allowOverlap="1" wp14:anchorId="32082F9E" wp14:editId="7F179D88">
          <wp:simplePos x="0" y="0"/>
          <wp:positionH relativeFrom="column">
            <wp:posOffset>408305</wp:posOffset>
          </wp:positionH>
          <wp:positionV relativeFrom="paragraph">
            <wp:posOffset>119380</wp:posOffset>
          </wp:positionV>
          <wp:extent cx="172720" cy="172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1"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767171" w:themeColor="background2" w:themeShade="80"/>
        <w:lang w:bidi="fa-IR"/>
      </w:rPr>
      <w:tab/>
      <w:t xml:space="preserve">          </w:t>
    </w:r>
    <w:r w:rsidRPr="00E1315D">
      <w:rPr>
        <w:rFonts w:ascii="Palatino Linotype" w:hAnsi="Palatino Linotype"/>
        <w:color w:val="002060"/>
        <w:sz w:val="16"/>
        <w:szCs w:val="16"/>
        <w:lang w:bidi="fa-IR"/>
      </w:rPr>
      <w:t xml:space="preserve">Corresponding Author: </w:t>
    </w:r>
  </w:p>
  <w:p w14:paraId="35FA4461" w14:textId="2AF2DFDF" w:rsidR="00AC1AA5" w:rsidRPr="008B7729" w:rsidRDefault="00AC1AA5" w:rsidP="00911BEE">
    <w:pPr>
      <w:pStyle w:val="Affiliation"/>
      <w:framePr w:hSpace="0" w:wrap="auto" w:vAnchor="margin" w:hAnchor="text" w:xAlign="left" w:yAlign="inline"/>
      <w:ind w:left="426"/>
      <w:suppressOverlap w:val="0"/>
      <w:rPr>
        <w:rFonts w:ascii="Palatino Linotype" w:hAnsi="Palatino Linotype"/>
        <w:sz w:val="20"/>
        <w:szCs w:val="20"/>
        <w:lang w:bidi="fa-IR"/>
      </w:rPr>
    </w:pPr>
    <w:r w:rsidRPr="003922BA">
      <w:rPr>
        <w:rFonts w:ascii="Book Antiqua" w:hAnsi="Book Antiqua"/>
        <w:noProof/>
        <w:color w:val="767171" w:themeColor="background2" w:themeShade="80"/>
      </w:rPr>
      <w:drawing>
        <wp:anchor distT="0" distB="0" distL="114300" distR="114300" simplePos="0" relativeHeight="251664384" behindDoc="0" locked="0" layoutInCell="1" allowOverlap="1" wp14:anchorId="48036224" wp14:editId="44D8E31C">
          <wp:simplePos x="0" y="0"/>
          <wp:positionH relativeFrom="column">
            <wp:posOffset>404495</wp:posOffset>
          </wp:positionH>
          <wp:positionV relativeFrom="paragraph">
            <wp:posOffset>5715</wp:posOffset>
          </wp:positionV>
          <wp:extent cx="153670" cy="1536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Pr="00682723">
      <w:rPr>
        <w:rFonts w:ascii="Palatino Linotype" w:hAnsi="Palatino Linotype"/>
        <w:color w:val="FFFFFF" w:themeColor="background1"/>
        <w:sz w:val="16"/>
        <w:szCs w:val="16"/>
        <w:lang w:bidi="fa-IR"/>
      </w:rPr>
      <w:t>1</w:t>
    </w:r>
    <w:r>
      <w:rPr>
        <w:rFonts w:ascii="Palatino Linotype" w:hAnsi="Palatino Linotype"/>
        <w:color w:val="FFFFFF" w:themeColor="background1"/>
        <w:sz w:val="16"/>
        <w:szCs w:val="16"/>
        <w:lang w:bidi="fa-IR"/>
      </w:rPr>
      <w:t>0.</w:t>
    </w:r>
    <w:r>
      <w:rPr>
        <w:rFonts w:ascii="Palatino Linotype" w:hAnsi="Palatino Linotype"/>
        <w:color w:val="000000" w:themeColor="text1"/>
        <w:sz w:val="16"/>
        <w:szCs w:val="16"/>
        <w:lang w:bidi="fa-IR"/>
      </w:rPr>
      <w:t xml:space="preserve">     </w:t>
    </w:r>
    <w:r w:rsidR="009A77C9">
      <w:rPr>
        <w:rFonts w:ascii="Palatino Linotype" w:hAnsi="Palatino Linotype"/>
        <w:lang w:bidi="fa-IR"/>
      </w:rPr>
      <w:t>https://doi.org/10.61356/s</w:t>
    </w:r>
    <w:r w:rsidR="00911BEE">
      <w:rPr>
        <w:rFonts w:ascii="Palatino Linotype" w:hAnsi="Palatino Linotype"/>
        <w:lang w:bidi="fa-IR"/>
      </w:rPr>
      <w:t>m</w:t>
    </w:r>
    <w:r w:rsidR="009A77C9">
      <w:rPr>
        <w:rFonts w:ascii="Palatino Linotype" w:hAnsi="Palatino Linotype"/>
        <w:lang w:bidi="fa-IR"/>
      </w:rPr>
      <w:t>ij</w:t>
    </w:r>
    <w:r w:rsidRPr="00AC1AA5">
      <w:rPr>
        <w:rFonts w:ascii="Palatino Linotype" w:hAnsi="Palatino Linotype"/>
        <w:lang w:bidi="fa-IR"/>
      </w:rPr>
      <w:t>.</w:t>
    </w:r>
    <w:r w:rsidRPr="008B7729">
      <w:rPr>
        <w:rFonts w:ascii="Palatino Linotype" w:hAnsi="Palatino Linotype"/>
        <w:sz w:val="20"/>
        <w:szCs w:val="20"/>
        <w:lang w:bidi="fa-IR"/>
      </w:rPr>
      <w:t xml:space="preserve"> </w:t>
    </w:r>
  </w:p>
  <w:p w14:paraId="3B88C6DA" w14:textId="0C083787" w:rsidR="00911BEE" w:rsidRDefault="00AC1AA5" w:rsidP="009A77C9">
    <w:pPr>
      <w:pStyle w:val="Affiliation"/>
      <w:framePr w:hSpace="0" w:wrap="auto" w:vAnchor="margin" w:hAnchor="text" w:xAlign="left" w:yAlign="inline"/>
      <w:suppressOverlap w:val="0"/>
      <w:rPr>
        <w:rFonts w:ascii="Palatino Linotype" w:hAnsi="Palatino Linotype"/>
        <w:sz w:val="16"/>
        <w:szCs w:val="16"/>
      </w:rPr>
    </w:pPr>
    <w:r w:rsidRPr="00E531BF">
      <w:rPr>
        <w:rFonts w:ascii="Palatino Linotype" w:hAnsi="Palatino Linotype"/>
        <w:noProof/>
      </w:rPr>
      <w:drawing>
        <wp:anchor distT="0" distB="0" distL="114300" distR="114300" simplePos="0" relativeHeight="251665408" behindDoc="0" locked="0" layoutInCell="1" allowOverlap="1" wp14:anchorId="4F8D6F74" wp14:editId="7FF99D83">
          <wp:simplePos x="0" y="0"/>
          <wp:positionH relativeFrom="margin">
            <wp:posOffset>396240</wp:posOffset>
          </wp:positionH>
          <wp:positionV relativeFrom="paragraph">
            <wp:posOffset>74295</wp:posOffset>
          </wp:positionV>
          <wp:extent cx="330835" cy="165100"/>
          <wp:effectExtent l="0" t="0" r="0" b="635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3" cstate="print">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Pr>
        <w:rFonts w:ascii="Palatino Linotype" w:hAnsi="Palatino Linotype"/>
        <w:sz w:val="16"/>
        <w:szCs w:val="16"/>
      </w:rPr>
      <w:t xml:space="preserve">                            </w:t>
    </w:r>
    <w:r w:rsidRPr="00DE2F81">
      <w:rPr>
        <w:rFonts w:ascii="Palatino Linotype" w:hAnsi="Palatino Linotype"/>
        <w:sz w:val="16"/>
        <w:szCs w:val="16"/>
      </w:rPr>
      <w:t xml:space="preserve">Licensee </w:t>
    </w:r>
    <w:r w:rsidR="009A77C9" w:rsidRPr="009A77C9">
      <w:rPr>
        <w:rFonts w:ascii="Palatino Linotype" w:hAnsi="Palatino Linotype"/>
        <w:b/>
        <w:bCs/>
        <w:color w:val="002060"/>
        <w:sz w:val="16"/>
        <w:szCs w:val="16"/>
      </w:rPr>
      <w:t>Sustainable Machine Intelligence Journal</w:t>
    </w:r>
    <w:r w:rsidRPr="00DE2F81">
      <w:rPr>
        <w:rFonts w:ascii="Palatino Linotype" w:hAnsi="Palatino Linotype"/>
        <w:sz w:val="16"/>
        <w:szCs w:val="16"/>
      </w:rPr>
      <w:t>. This article is an open access article distributed under the</w:t>
    </w:r>
    <w:r>
      <w:rPr>
        <w:rFonts w:ascii="Palatino Linotype" w:hAnsi="Palatino Linotype"/>
        <w:sz w:val="16"/>
        <w:szCs w:val="16"/>
      </w:rPr>
      <w:t xml:space="preserve"> </w:t>
    </w:r>
    <w:r w:rsidR="009A77C9">
      <w:rPr>
        <w:rFonts w:ascii="Palatino Linotype" w:hAnsi="Palatino Linotype"/>
        <w:sz w:val="16"/>
        <w:szCs w:val="16"/>
      </w:rPr>
      <w:t>terms and</w:t>
    </w:r>
  </w:p>
  <w:p w14:paraId="7DBD1358" w14:textId="1C04727F" w:rsidR="00AC1AA5" w:rsidRPr="00AC1AA5" w:rsidRDefault="00911BEE" w:rsidP="00911BEE">
    <w:pPr>
      <w:pStyle w:val="Affiliation"/>
      <w:framePr w:hSpace="0" w:wrap="auto" w:vAnchor="margin" w:hAnchor="text" w:xAlign="left" w:yAlign="inline"/>
      <w:suppressOverlap w:val="0"/>
      <w:rPr>
        <w:rFonts w:ascii="Palatino Linotype" w:hAnsi="Palatino Linotype"/>
        <w:sz w:val="16"/>
        <w:szCs w:val="16"/>
      </w:rPr>
    </w:pPr>
    <w:r>
      <w:rPr>
        <w:rFonts w:ascii="Palatino Linotype" w:hAnsi="Palatino Linotype"/>
        <w:sz w:val="16"/>
        <w:szCs w:val="16"/>
      </w:rPr>
      <w:t xml:space="preserve">      </w:t>
    </w:r>
    <w:r w:rsidR="009A77C9">
      <w:rPr>
        <w:rFonts w:ascii="Palatino Linotype" w:hAnsi="Palatino Linotype"/>
        <w:sz w:val="16"/>
        <w:szCs w:val="16"/>
      </w:rPr>
      <w:t xml:space="preserve">                      </w:t>
    </w:r>
    <w:proofErr w:type="gramStart"/>
    <w:r w:rsidR="00AC1AA5" w:rsidRPr="00DE2F81">
      <w:rPr>
        <w:rFonts w:ascii="Palatino Linotype" w:hAnsi="Palatino Linotype"/>
        <w:sz w:val="16"/>
        <w:szCs w:val="16"/>
      </w:rPr>
      <w:t>conditions</w:t>
    </w:r>
    <w:proofErr w:type="gramEnd"/>
    <w:r w:rsidR="00AC1AA5" w:rsidRPr="00DE2F81">
      <w:rPr>
        <w:rFonts w:ascii="Palatino Linotype" w:hAnsi="Palatino Linotype"/>
        <w:sz w:val="16"/>
        <w:szCs w:val="16"/>
      </w:rPr>
      <w:t xml:space="preserve"> of the Creative Commons Attribution (CC BY) license (http://creativecommons.org/licenses/by/4.0).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9822F" w14:textId="77777777" w:rsidR="007C7CDA" w:rsidRPr="00FE73CA" w:rsidRDefault="007C7CDA" w:rsidP="00FA44F9">
      <w:pPr>
        <w:bidi w:val="0"/>
      </w:pPr>
      <w:r w:rsidRPr="00FE73CA">
        <w:separator/>
      </w:r>
    </w:p>
  </w:footnote>
  <w:footnote w:type="continuationSeparator" w:id="0">
    <w:p w14:paraId="33CDC788" w14:textId="77777777" w:rsidR="007C7CDA" w:rsidRPr="00FE73CA" w:rsidRDefault="007C7CDA" w:rsidP="00FA44F9">
      <w:r w:rsidRPr="00FE73CA">
        <w:continuationSeparator/>
      </w:r>
    </w:p>
  </w:footnote>
  <w:footnote w:type="continuationNotice" w:id="1">
    <w:p w14:paraId="7786639F" w14:textId="77777777" w:rsidR="007C7CDA" w:rsidRPr="00FE73CA" w:rsidRDefault="007C7CDA" w:rsidP="00FA44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Bidi" w:hAnsiTheme="majorBidi" w:cstheme="majorBidi"/>
        <w:sz w:val="20"/>
        <w:szCs w:val="20"/>
        <w:rtl/>
      </w:rPr>
      <w:id w:val="-1200926988"/>
      <w:docPartObj>
        <w:docPartGallery w:val="Page Numbers (Top of Page)"/>
        <w:docPartUnique/>
      </w:docPartObj>
    </w:sdtPr>
    <w:sdtEndPr>
      <w:rPr>
        <w:rStyle w:val="PageNumber"/>
      </w:rPr>
    </w:sdtEndPr>
    <w:sdtContent>
      <w:p w14:paraId="30B67E5E" w14:textId="01707402" w:rsidR="00731FEA" w:rsidRPr="00E20A2C" w:rsidRDefault="00731FEA" w:rsidP="00731FEA">
        <w:pPr>
          <w:pStyle w:val="Header"/>
          <w:framePr w:w="1308" w:h="376" w:hRule="exact" w:wrap="none" w:vAnchor="text" w:hAnchor="page" w:x="9827" w:y="-50"/>
          <w:rPr>
            <w:rStyle w:val="PageNumber"/>
            <w:rFonts w:asciiTheme="majorBidi" w:hAnsiTheme="majorBidi" w:cstheme="majorBidi"/>
            <w:sz w:val="20"/>
            <w:szCs w:val="20"/>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CD0106">
          <w:rPr>
            <w:rStyle w:val="PageNumber"/>
            <w:rFonts w:asciiTheme="majorBidi" w:hAnsiTheme="majorBidi" w:cstheme="majorBidi"/>
            <w:noProof/>
            <w:sz w:val="20"/>
            <w:szCs w:val="20"/>
            <w:rtl/>
          </w:rPr>
          <w:t>4</w:t>
        </w:r>
        <w:r w:rsidRPr="00E20A2C">
          <w:rPr>
            <w:rStyle w:val="PageNumber"/>
            <w:rFonts w:asciiTheme="majorBidi" w:hAnsiTheme="majorBidi" w:cstheme="majorBidi"/>
            <w:sz w:val="20"/>
            <w:szCs w:val="20"/>
            <w:rtl/>
          </w:rPr>
          <w:fldChar w:fldCharType="end"/>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p>
    </w:sdtContent>
  </w:sdt>
  <w:p w14:paraId="06468B28" w14:textId="21D092DC" w:rsidR="00FF649C" w:rsidRPr="00FF649C" w:rsidRDefault="007C7CDA" w:rsidP="00731FEA">
    <w:pPr>
      <w:pBdr>
        <w:bottom w:val="single" w:sz="4" w:space="1" w:color="000000"/>
      </w:pBdr>
      <w:bidi w:val="0"/>
      <w:ind w:firstLine="36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3E754E">
      <w:rPr>
        <w:rFonts w:ascii="Garamond" w:eastAsia="Times New Roman" w:hAnsi="Garamond" w:cs="Times New Roman"/>
        <w:b/>
        <w:bCs/>
        <w:color w:val="767171" w:themeColor="background2" w:themeShade="80"/>
        <w:sz w:val="20"/>
        <w:szCs w:val="20"/>
      </w:rPr>
      <w:t>Pape</w:t>
    </w:r>
    <w:r w:rsidR="00731FEA" w:rsidRPr="003E754E">
      <w:rPr>
        <w:rFonts w:ascii="Garamond" w:eastAsia="Times New Roman" w:hAnsi="Garamond" w:cs="Times New Roman"/>
        <w:b/>
        <w:bCs/>
        <w:color w:val="767171" w:themeColor="background2" w:themeShade="80"/>
        <w:sz w:val="20"/>
        <w:szCs w:val="20"/>
      </w:rPr>
      <w:t>r</w:t>
    </w:r>
    <w:r w:rsidR="00FF649C" w:rsidRPr="003E754E">
      <w:rPr>
        <w:rFonts w:ascii="Garamond" w:eastAsia="Times New Roman" w:hAnsi="Garamond" w:cs="Times New Roman"/>
        <w:b/>
        <w:bCs/>
        <w:color w:val="767171" w:themeColor="background2" w:themeShade="80"/>
        <w:sz w:val="20"/>
        <w:szCs w:val="20"/>
      </w:rPr>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236663773"/>
      <w:docPartObj>
        <w:docPartGallery w:val="Page Numbers (Top of Page)"/>
        <w:docPartUnique/>
      </w:docPartObj>
    </w:sdtPr>
    <w:sdtEndPr>
      <w:rPr>
        <w:rStyle w:val="PageNumber"/>
      </w:rPr>
    </w:sdtEndPr>
    <w:sdtContent>
      <w:p w14:paraId="26F3A40F" w14:textId="66D2F880" w:rsidR="00731FEA" w:rsidRDefault="00731FEA" w:rsidP="00731FEA">
        <w:pPr>
          <w:pStyle w:val="Header"/>
          <w:framePr w:wrap="none" w:vAnchor="text" w:hAnchor="margin" w:y="1"/>
          <w:rPr>
            <w:rStyle w:val="PageNumber"/>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CD0106">
          <w:rPr>
            <w:rStyle w:val="PageNumber"/>
            <w:rFonts w:asciiTheme="majorBidi" w:hAnsiTheme="majorBidi" w:cstheme="majorBidi"/>
            <w:noProof/>
            <w:sz w:val="20"/>
            <w:szCs w:val="20"/>
            <w:rtl/>
          </w:rPr>
          <w:t>3</w:t>
        </w:r>
        <w:r w:rsidRPr="00E20A2C">
          <w:rPr>
            <w:rStyle w:val="PageNumber"/>
            <w:rFonts w:asciiTheme="majorBidi" w:hAnsiTheme="majorBidi" w:cstheme="majorBidi"/>
            <w:sz w:val="20"/>
            <w:szCs w:val="20"/>
            <w:rtl/>
          </w:rPr>
          <w:fldChar w:fldCharType="end"/>
        </w:r>
      </w:p>
    </w:sdtContent>
  </w:sdt>
  <w:p w14:paraId="4CDC5DB0" w14:textId="1D04BFCF" w:rsidR="000E04F6" w:rsidRPr="004A5A5D" w:rsidRDefault="00E20A2C" w:rsidP="00BD48E2">
    <w:pPr>
      <w:pBdr>
        <w:bottom w:val="single" w:sz="4" w:space="1" w:color="000000"/>
      </w:pBdr>
      <w:tabs>
        <w:tab w:val="left" w:pos="1980"/>
        <w:tab w:val="right" w:pos="9868"/>
      </w:tabs>
      <w:bidi w:val="0"/>
      <w:ind w:left="1080" w:firstLine="360"/>
      <w:jc w:val="left"/>
      <w:rPr>
        <w:rFonts w:ascii="Times New Roman" w:eastAsia="Times New Roman" w:hAnsi="Times New Roman" w:cs="Times New Roman"/>
        <w:b/>
        <w:bCs/>
        <w:i/>
        <w:color w:val="767171" w:themeColor="background2" w:themeShade="80"/>
        <w:sz w:val="12"/>
        <w:szCs w:val="12"/>
        <w:rtl/>
        <w:lang w:bidi="fa-IR"/>
      </w:rPr>
    </w:pPr>
    <w:r>
      <w:tab/>
    </w:r>
    <w:r>
      <w:tab/>
    </w: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 xml:space="preserve">Author's </w:t>
    </w:r>
    <w:proofErr w:type="spellStart"/>
    <w:r w:rsidR="000E04F6" w:rsidRPr="004A5A5D">
      <w:rPr>
        <w:rFonts w:ascii="Garamond" w:eastAsia="Times New Roman" w:hAnsi="Garamond" w:cs="Times New Roman"/>
        <w:b/>
        <w:bCs/>
        <w:color w:val="767171" w:themeColor="background2" w:themeShade="80"/>
        <w:sz w:val="18"/>
        <w:szCs w:val="18"/>
      </w:rPr>
      <w:t>LastName|</w:t>
    </w:r>
    <w:r w:rsidR="00BD48E2" w:rsidRPr="00BD48E2">
      <w:rPr>
        <w:rFonts w:ascii="Garamond" w:eastAsia="Times New Roman" w:hAnsi="Garamond" w:cs="Times New Roman"/>
        <w:b/>
        <w:bCs/>
        <w:color w:val="767171" w:themeColor="background2" w:themeShade="80"/>
        <w:sz w:val="18"/>
        <w:szCs w:val="18"/>
      </w:rPr>
      <w:t>Sustain</w:t>
    </w:r>
    <w:proofErr w:type="spellEnd"/>
    <w:r w:rsidR="00BD48E2" w:rsidRPr="00BD48E2">
      <w:rPr>
        <w:rFonts w:ascii="Garamond" w:eastAsia="Times New Roman" w:hAnsi="Garamond" w:cs="Times New Roman"/>
        <w:b/>
        <w:bCs/>
        <w:color w:val="767171" w:themeColor="background2" w:themeShade="80"/>
        <w:sz w:val="18"/>
        <w:szCs w:val="18"/>
      </w:rPr>
      <w:t xml:space="preserve">. Mach. Intell. J. </w:t>
    </w:r>
    <w:r w:rsidR="0051476C">
      <w:rPr>
        <w:rFonts w:ascii="Garamond" w:eastAsia="Times New Roman" w:hAnsi="Garamond" w:cs="Times New Roman"/>
        <w:b/>
        <w:bCs/>
        <w:color w:val="767171" w:themeColor="background2" w:themeShade="80"/>
        <w:sz w:val="18"/>
        <w:szCs w:val="18"/>
      </w:rPr>
      <w:t xml:space="preserve"> X</w:t>
    </w:r>
    <w:r w:rsidR="000E04F6" w:rsidRPr="004A5A5D">
      <w:rPr>
        <w:rFonts w:ascii="Garamond" w:eastAsia="Times New Roman" w:hAnsi="Garamond" w:cs="Times New Roman"/>
        <w:b/>
        <w:bCs/>
        <w:color w:val="767171" w:themeColor="background2" w:themeShade="80"/>
        <w:sz w:val="18"/>
        <w:szCs w:val="18"/>
      </w:rPr>
      <w:t xml:space="preserve"> (xx) 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E6656B4"/>
    <w:lvl w:ilvl="0">
      <w:start w:val="1"/>
      <w:numFmt w:val="decimal"/>
      <w:pStyle w:val="ListNumber"/>
      <w:lvlText w:val="%1."/>
      <w:lvlJc w:val="left"/>
      <w:pPr>
        <w:tabs>
          <w:tab w:val="num" w:pos="565"/>
        </w:tabs>
        <w:ind w:left="565" w:hanging="360"/>
      </w:pPr>
    </w:lvl>
  </w:abstractNum>
  <w:abstractNum w:abstractNumId="1">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nsid w:val="37340937"/>
    <w:multiLevelType w:val="hybridMultilevel"/>
    <w:tmpl w:val="02F267BC"/>
    <w:lvl w:ilvl="0" w:tplc="6D0CC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75E4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A411D2"/>
    <w:multiLevelType w:val="hybridMultilevel"/>
    <w:tmpl w:val="A9D035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B24F93"/>
    <w:multiLevelType w:val="hybridMultilevel"/>
    <w:tmpl w:val="A7A28D0E"/>
    <w:lvl w:ilvl="0" w:tplc="C1B243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4FDF5D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65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0">
    <w:nsid w:val="619965B4"/>
    <w:multiLevelType w:val="multilevel"/>
    <w:tmpl w:val="184213E6"/>
    <w:lvl w:ilvl="0">
      <w:start w:val="1"/>
      <w:numFmt w:val="decimal"/>
      <w:suff w:val="space"/>
      <w:lvlText w:val="%1"/>
      <w:lvlJc w:val="left"/>
      <w:pPr>
        <w:ind w:left="990" w:hanging="360"/>
      </w:pPr>
      <w:rPr>
        <w:rFonts w:hint="default"/>
        <w:color w:val="1F3864" w:themeColor="accent5" w:themeShade="80"/>
      </w:rPr>
    </w:lvl>
    <w:lvl w:ilvl="1">
      <w:start w:val="1"/>
      <w:numFmt w:val="decimal"/>
      <w:isLgl/>
      <w:suff w:val="space"/>
      <w:lvlText w:val="%1.%2"/>
      <w:lvlJc w:val="left"/>
      <w:pPr>
        <w:ind w:left="1350" w:hanging="720"/>
      </w:pPr>
      <w:rPr>
        <w:rFonts w:hint="default"/>
        <w:color w:val="1F3864" w:themeColor="accent5" w:themeShade="80"/>
      </w:rPr>
    </w:lvl>
    <w:lvl w:ilvl="2">
      <w:start w:val="1"/>
      <w:numFmt w:val="decimal"/>
      <w:isLgl/>
      <w:lvlText w:val="%1.%2.%3"/>
      <w:lvlJc w:val="left"/>
      <w:pPr>
        <w:ind w:left="221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798" w:hanging="1440"/>
      </w:pPr>
      <w:rPr>
        <w:rFonts w:hint="default"/>
      </w:rPr>
    </w:lvl>
    <w:lvl w:ilvl="5">
      <w:start w:val="1"/>
      <w:numFmt w:val="decimal"/>
      <w:isLgl/>
      <w:lvlText w:val="%1.%2.%3.%4.%5.%6"/>
      <w:lvlJc w:val="left"/>
      <w:pPr>
        <w:ind w:left="4590" w:hanging="1800"/>
      </w:pPr>
      <w:rPr>
        <w:rFonts w:hint="default"/>
      </w:rPr>
    </w:lvl>
    <w:lvl w:ilvl="6">
      <w:start w:val="1"/>
      <w:numFmt w:val="decimal"/>
      <w:isLgl/>
      <w:lvlText w:val="%1.%2.%3.%4.%5.%6.%7"/>
      <w:lvlJc w:val="left"/>
      <w:pPr>
        <w:ind w:left="5022"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606" w:hanging="2520"/>
      </w:pPr>
      <w:rPr>
        <w:rFonts w:hint="default"/>
      </w:rPr>
    </w:lvl>
  </w:abstractNum>
  <w:abstractNum w:abstractNumId="21">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3627FA"/>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6">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22"/>
  </w:num>
  <w:num w:numId="7">
    <w:abstractNumId w:val="26"/>
  </w:num>
  <w:num w:numId="8">
    <w:abstractNumId w:val="25"/>
  </w:num>
  <w:num w:numId="9">
    <w:abstractNumId w:val="9"/>
  </w:num>
  <w:num w:numId="10">
    <w:abstractNumId w:val="2"/>
  </w:num>
  <w:num w:numId="11">
    <w:abstractNumId w:val="1"/>
  </w:num>
  <w:num w:numId="12">
    <w:abstractNumId w:val="3"/>
  </w:num>
  <w:num w:numId="13">
    <w:abstractNumId w:val="8"/>
  </w:num>
  <w:num w:numId="14">
    <w:abstractNumId w:val="23"/>
  </w:num>
  <w:num w:numId="15">
    <w:abstractNumId w:val="4"/>
  </w:num>
  <w:num w:numId="16">
    <w:abstractNumId w:val="7"/>
  </w:num>
  <w:num w:numId="17">
    <w:abstractNumId w:val="21"/>
  </w:num>
  <w:num w:numId="18">
    <w:abstractNumId w:val="19"/>
  </w:num>
  <w:num w:numId="19">
    <w:abstractNumId w:val="16"/>
  </w:num>
  <w:num w:numId="20">
    <w:abstractNumId w:val="12"/>
  </w:num>
  <w:num w:numId="21">
    <w:abstractNumId w:val="10"/>
  </w:num>
  <w:num w:numId="22">
    <w:abstractNumId w:val="14"/>
  </w:num>
  <w:num w:numId="23">
    <w:abstractNumId w:val="20"/>
  </w:num>
  <w:num w:numId="24">
    <w:abstractNumId w:val="15"/>
  </w:num>
  <w:num w:numId="25">
    <w:abstractNumId w:val="24"/>
  </w:num>
  <w:num w:numId="26">
    <w:abstractNumId w:val="18"/>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36D68"/>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10AA"/>
    <w:rsid w:val="000726BD"/>
    <w:rsid w:val="00073FD6"/>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625"/>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0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6B5"/>
    <w:rsid w:val="001A3C23"/>
    <w:rsid w:val="001A48EF"/>
    <w:rsid w:val="001A55AE"/>
    <w:rsid w:val="001A5E51"/>
    <w:rsid w:val="001B018A"/>
    <w:rsid w:val="001B20CE"/>
    <w:rsid w:val="001B46AA"/>
    <w:rsid w:val="001B56FB"/>
    <w:rsid w:val="001B5DC1"/>
    <w:rsid w:val="001B717A"/>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16E87"/>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089D"/>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3C5A"/>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179"/>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54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76C"/>
    <w:rsid w:val="00514B36"/>
    <w:rsid w:val="0051574F"/>
    <w:rsid w:val="00523402"/>
    <w:rsid w:val="00531035"/>
    <w:rsid w:val="00531E22"/>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57A84"/>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360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601"/>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112"/>
    <w:rsid w:val="006119C1"/>
    <w:rsid w:val="00611FA6"/>
    <w:rsid w:val="00614F18"/>
    <w:rsid w:val="006155BA"/>
    <w:rsid w:val="006173C9"/>
    <w:rsid w:val="00617FBD"/>
    <w:rsid w:val="0062214D"/>
    <w:rsid w:val="00623C75"/>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5E83"/>
    <w:rsid w:val="007B74CC"/>
    <w:rsid w:val="007B7D75"/>
    <w:rsid w:val="007C1B11"/>
    <w:rsid w:val="007C33A0"/>
    <w:rsid w:val="007C5583"/>
    <w:rsid w:val="007C7CDA"/>
    <w:rsid w:val="007D2FB6"/>
    <w:rsid w:val="007D4977"/>
    <w:rsid w:val="007D79F2"/>
    <w:rsid w:val="007D7E06"/>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665"/>
    <w:rsid w:val="00876AC0"/>
    <w:rsid w:val="00876B88"/>
    <w:rsid w:val="00877BF5"/>
    <w:rsid w:val="00880683"/>
    <w:rsid w:val="00880BEA"/>
    <w:rsid w:val="00881593"/>
    <w:rsid w:val="00881645"/>
    <w:rsid w:val="00882702"/>
    <w:rsid w:val="00883FA4"/>
    <w:rsid w:val="00884CBC"/>
    <w:rsid w:val="008851D1"/>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1BEE"/>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5FC3"/>
    <w:rsid w:val="009A7267"/>
    <w:rsid w:val="009A77C9"/>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94E"/>
    <w:rsid w:val="00A11D5C"/>
    <w:rsid w:val="00A1272D"/>
    <w:rsid w:val="00A148E5"/>
    <w:rsid w:val="00A14D9B"/>
    <w:rsid w:val="00A1713A"/>
    <w:rsid w:val="00A172A3"/>
    <w:rsid w:val="00A20A91"/>
    <w:rsid w:val="00A23083"/>
    <w:rsid w:val="00A235EC"/>
    <w:rsid w:val="00A24637"/>
    <w:rsid w:val="00A25A7D"/>
    <w:rsid w:val="00A2623F"/>
    <w:rsid w:val="00A305E3"/>
    <w:rsid w:val="00A31B31"/>
    <w:rsid w:val="00A31B69"/>
    <w:rsid w:val="00A33200"/>
    <w:rsid w:val="00A37C58"/>
    <w:rsid w:val="00A43A7A"/>
    <w:rsid w:val="00A44151"/>
    <w:rsid w:val="00A47699"/>
    <w:rsid w:val="00A50963"/>
    <w:rsid w:val="00A528D1"/>
    <w:rsid w:val="00A53E1D"/>
    <w:rsid w:val="00A55167"/>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1AA5"/>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AF7B79"/>
    <w:rsid w:val="00B00DA8"/>
    <w:rsid w:val="00B01A81"/>
    <w:rsid w:val="00B01F45"/>
    <w:rsid w:val="00B0262B"/>
    <w:rsid w:val="00B10095"/>
    <w:rsid w:val="00B100A5"/>
    <w:rsid w:val="00B10568"/>
    <w:rsid w:val="00B10EA3"/>
    <w:rsid w:val="00B134EC"/>
    <w:rsid w:val="00B166A4"/>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161"/>
    <w:rsid w:val="00BA585D"/>
    <w:rsid w:val="00BB5097"/>
    <w:rsid w:val="00BB7440"/>
    <w:rsid w:val="00BC0492"/>
    <w:rsid w:val="00BC18D6"/>
    <w:rsid w:val="00BC7296"/>
    <w:rsid w:val="00BD48E2"/>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61B4"/>
    <w:rsid w:val="00C0771F"/>
    <w:rsid w:val="00C10839"/>
    <w:rsid w:val="00C129B3"/>
    <w:rsid w:val="00C12BE7"/>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5E12"/>
    <w:rsid w:val="00C670A1"/>
    <w:rsid w:val="00C70BB6"/>
    <w:rsid w:val="00C71189"/>
    <w:rsid w:val="00C71D36"/>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A9E"/>
    <w:rsid w:val="00CB1CF5"/>
    <w:rsid w:val="00CB27E3"/>
    <w:rsid w:val="00CB284E"/>
    <w:rsid w:val="00CB4F4D"/>
    <w:rsid w:val="00CB5D46"/>
    <w:rsid w:val="00CB6994"/>
    <w:rsid w:val="00CC23FD"/>
    <w:rsid w:val="00CC28F8"/>
    <w:rsid w:val="00CC2BC3"/>
    <w:rsid w:val="00CC3005"/>
    <w:rsid w:val="00CC7906"/>
    <w:rsid w:val="00CD01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5B2D"/>
    <w:rsid w:val="00D3672E"/>
    <w:rsid w:val="00D377AC"/>
    <w:rsid w:val="00D37FC4"/>
    <w:rsid w:val="00D40EB3"/>
    <w:rsid w:val="00D446C6"/>
    <w:rsid w:val="00D47DC8"/>
    <w:rsid w:val="00D51209"/>
    <w:rsid w:val="00D51798"/>
    <w:rsid w:val="00D530EF"/>
    <w:rsid w:val="00D535E5"/>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4E8"/>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100"/>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0A2C"/>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0A9F"/>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65A2"/>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4D32"/>
    <w:rsid w:val="00F661A9"/>
    <w:rsid w:val="00F66266"/>
    <w:rsid w:val="00F71BC6"/>
    <w:rsid w:val="00F738EB"/>
    <w:rsid w:val="00F7412A"/>
    <w:rsid w:val="00F7492E"/>
    <w:rsid w:val="00F750F5"/>
    <w:rsid w:val="00F754CE"/>
    <w:rsid w:val="00F763F8"/>
    <w:rsid w:val="00F835E7"/>
    <w:rsid w:val="00F85582"/>
    <w:rsid w:val="00F86423"/>
    <w:rsid w:val="00F91D5A"/>
    <w:rsid w:val="00F93781"/>
    <w:rsid w:val="00F96DFB"/>
    <w:rsid w:val="00FA0AEC"/>
    <w:rsid w:val="00FA165C"/>
    <w:rsid w:val="00FA2BCF"/>
    <w:rsid w:val="00FA3779"/>
    <w:rsid w:val="00FA44F9"/>
    <w:rsid w:val="00FB0E33"/>
    <w:rsid w:val="00FB1879"/>
    <w:rsid w:val="00FC008A"/>
    <w:rsid w:val="00FC1F0A"/>
    <w:rsid w:val="00FC27AB"/>
    <w:rsid w:val="00FC302B"/>
    <w:rsid w:val="00FC49F9"/>
    <w:rsid w:val="00FC690A"/>
    <w:rsid w:val="00FC79D5"/>
    <w:rsid w:val="00FC7F3C"/>
    <w:rsid w:val="00FD2651"/>
    <w:rsid w:val="00FD4A46"/>
    <w:rsid w:val="00FD58FA"/>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3537B"/>
    <w:pPr>
      <w:bidi w:val="0"/>
      <w:spacing w:before="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DD1100"/>
    <w:pPr>
      <w:bidi w:val="0"/>
      <w:spacing w:before="120" w:beforeAutospacing="0" w:after="120" w:afterAutospacing="0"/>
      <w:ind w:firstLine="142"/>
    </w:pPr>
    <w:rPr>
      <w:rFonts w:ascii="Garamond" w:eastAsiaTheme="majorEastAsia" w:hAnsi="Garamond" w:cstheme="majorBidi"/>
      <w:b/>
      <w:bCs/>
      <w:color w:val="1F3864" w:themeColor="accent5" w:themeShade="80"/>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DD1100"/>
    <w:rPr>
      <w:rFonts w:ascii="Garamond" w:eastAsiaTheme="majorEastAsia" w:hAnsi="Garamond" w:cstheme="majorBidi"/>
      <w:b/>
      <w:bCs/>
      <w:color w:val="1F3864" w:themeColor="accent5" w:themeShade="80"/>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oleObject" Target="embeddings/oleObject1.bin"/><Relationship Id="rId26" Type="http://schemas.openxmlformats.org/officeDocument/2006/relationships/hyperlink" Target="https://blog.nasm.org/workout-and-nutrition-timing" TargetMode="External"/><Relationship Id="rId3" Type="http://schemas.openxmlformats.org/officeDocument/2006/relationships/styles" Target="styles.xml"/><Relationship Id="rId21" Type="http://schemas.openxmlformats.org/officeDocument/2006/relationships/hyperlink" Target="https://drive.google.com/file/d/18RGWXRr_r2tx6CpUg9c6uV0-S1X9Iu4X/view?usp=sharing"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doi.org/10.1007/978-3-319-76810-6_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sforce.com/" TargetMode="External"/><Relationship Id="rId24" Type="http://schemas.openxmlformats.org/officeDocument/2006/relationships/hyperlink" Target="https://doi.org/10.1016/j.engstruct.2016.01.03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rive.google.com/file/d/10QZBS_E66Z4UTNdP5GhoR5dfsaGe2Jvw/view?usp=sharing" TargetMode="External"/><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6.w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iencesforce.com/index.php/smij" TargetMode="External"/><Relationship Id="rId22" Type="http://schemas.openxmlformats.org/officeDocument/2006/relationships/hyperlink" Target="https://drive.google.com/file/d/1uurtjew-arbqOY2Gz9phWYqzR_ssl7F1/view?usp=shar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sciencesforce.com/index.php/smij"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B4B323F5-ED1A-4CB2-A3A5-821D63C2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1452</Words>
  <Characters>8283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Windows User</cp:lastModifiedBy>
  <cp:revision>15</cp:revision>
  <cp:lastPrinted>2023-08-13T12:59:00Z</cp:lastPrinted>
  <dcterms:created xsi:type="dcterms:W3CDTF">2024-02-20T00:59:00Z</dcterms:created>
  <dcterms:modified xsi:type="dcterms:W3CDTF">2024-06-08T00:20:00Z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